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9090" w14:textId="7820D4E4" w:rsidR="0093735A" w:rsidRDefault="00823EE0">
      <w:pPr>
        <w:pStyle w:val="a4"/>
      </w:pPr>
      <w:r>
        <w:rPr>
          <w:spacing w:val="-1"/>
        </w:rPr>
        <w:t>復興藝術實驗學院</w:t>
      </w:r>
    </w:p>
    <w:p w14:paraId="70ABC066" w14:textId="77777777" w:rsidR="0093735A" w:rsidRDefault="00823EE0">
      <w:pPr>
        <w:spacing w:before="191" w:line="201" w:lineRule="auto"/>
        <w:ind w:left="3433" w:right="3469"/>
        <w:jc w:val="center"/>
        <w:rPr>
          <w:rFonts w:ascii="Microsoft YaHei UI" w:eastAsia="Microsoft YaHei UI"/>
          <w:b/>
          <w:sz w:val="24"/>
        </w:rPr>
      </w:pPr>
      <w:r>
        <w:rPr>
          <w:rFonts w:ascii="Microsoft YaHei UI" w:eastAsia="Microsoft YaHei UI" w:hint="eastAsia"/>
          <w:b/>
          <w:sz w:val="24"/>
        </w:rPr>
        <w:t>經費支用及核銷</w:t>
      </w:r>
      <w:r>
        <w:rPr>
          <w:rFonts w:ascii="Microsoft YaHei UI" w:eastAsia="Microsoft YaHei UI" w:hint="eastAsia"/>
          <w:b/>
          <w:sz w:val="24"/>
          <w:u w:val="double"/>
        </w:rPr>
        <w:t>自我檢查表</w:t>
      </w:r>
    </w:p>
    <w:p w14:paraId="0800EBF7" w14:textId="77777777" w:rsidR="0093735A" w:rsidRDefault="0093735A">
      <w:pPr>
        <w:pStyle w:val="a3"/>
        <w:spacing w:before="9"/>
        <w:rPr>
          <w:rFonts w:ascii="Microsoft YaHei UI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6167"/>
        <w:gridCol w:w="1379"/>
      </w:tblGrid>
      <w:tr w:rsidR="0093735A" w14:paraId="61F310C2" w14:textId="77777777">
        <w:trPr>
          <w:trHeight w:val="541"/>
        </w:trPr>
        <w:tc>
          <w:tcPr>
            <w:tcW w:w="754" w:type="dxa"/>
          </w:tcPr>
          <w:p w14:paraId="26690D37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11"/>
              </w:rPr>
            </w:pPr>
          </w:p>
          <w:p w14:paraId="272CD072" w14:textId="77777777" w:rsidR="0093735A" w:rsidRDefault="00823EE0">
            <w:pPr>
              <w:pStyle w:val="TableParagraph"/>
              <w:ind w:left="136" w:right="127"/>
              <w:jc w:val="center"/>
            </w:pPr>
            <w:r>
              <w:t>序號</w:t>
            </w:r>
          </w:p>
        </w:tc>
        <w:tc>
          <w:tcPr>
            <w:tcW w:w="6167" w:type="dxa"/>
          </w:tcPr>
          <w:p w14:paraId="7D457A9B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11"/>
              </w:rPr>
            </w:pPr>
          </w:p>
          <w:p w14:paraId="6D7D7A4D" w14:textId="77777777" w:rsidR="0093735A" w:rsidRDefault="00823EE0">
            <w:pPr>
              <w:pStyle w:val="TableParagraph"/>
              <w:ind w:left="2623" w:right="2613"/>
              <w:jc w:val="center"/>
            </w:pPr>
            <w:r>
              <w:t>檢查內容</w:t>
            </w:r>
          </w:p>
        </w:tc>
        <w:tc>
          <w:tcPr>
            <w:tcW w:w="1379" w:type="dxa"/>
          </w:tcPr>
          <w:p w14:paraId="01C9CEB1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11"/>
              </w:rPr>
            </w:pPr>
          </w:p>
          <w:p w14:paraId="360B1360" w14:textId="77777777" w:rsidR="0093735A" w:rsidRDefault="00823EE0">
            <w:pPr>
              <w:pStyle w:val="TableParagraph"/>
              <w:ind w:left="188" w:right="181"/>
              <w:jc w:val="center"/>
            </w:pPr>
            <w:r>
              <w:t>請勾選</w:t>
            </w:r>
          </w:p>
        </w:tc>
      </w:tr>
      <w:tr w:rsidR="0093735A" w14:paraId="37565E19" w14:textId="77777777">
        <w:trPr>
          <w:trHeight w:val="542"/>
        </w:trPr>
        <w:tc>
          <w:tcPr>
            <w:tcW w:w="754" w:type="dxa"/>
          </w:tcPr>
          <w:p w14:paraId="44D6CCE0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13"/>
              </w:rPr>
            </w:pPr>
          </w:p>
          <w:p w14:paraId="7F7E8483" w14:textId="77777777" w:rsidR="0093735A" w:rsidRDefault="00823EE0">
            <w:pPr>
              <w:pStyle w:val="TableParagraph"/>
              <w:spacing w:before="1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6167" w:type="dxa"/>
          </w:tcPr>
          <w:p w14:paraId="33AE9F4F" w14:textId="77777777" w:rsidR="0093735A" w:rsidRDefault="0093735A">
            <w:pPr>
              <w:pStyle w:val="TableParagraph"/>
              <w:spacing w:before="6"/>
              <w:rPr>
                <w:rFonts w:ascii="Microsoft YaHei UI"/>
                <w:b/>
                <w:sz w:val="12"/>
              </w:rPr>
            </w:pPr>
          </w:p>
          <w:p w14:paraId="4D226E25" w14:textId="77777777" w:rsidR="0093735A" w:rsidRDefault="00823EE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經費之動支，應恪守預算執行之相關規定。</w:t>
            </w:r>
          </w:p>
        </w:tc>
        <w:tc>
          <w:tcPr>
            <w:tcW w:w="1379" w:type="dxa"/>
          </w:tcPr>
          <w:p w14:paraId="3CE8501E" w14:textId="77777777" w:rsidR="0093735A" w:rsidRDefault="00823EE0">
            <w:pPr>
              <w:pStyle w:val="TableParagraph"/>
              <w:spacing w:before="103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090B3CC6" w14:textId="77777777">
        <w:trPr>
          <w:trHeight w:val="899"/>
        </w:trPr>
        <w:tc>
          <w:tcPr>
            <w:tcW w:w="754" w:type="dxa"/>
          </w:tcPr>
          <w:p w14:paraId="0764BEB3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23"/>
              </w:rPr>
            </w:pPr>
          </w:p>
          <w:p w14:paraId="3EF495CB" w14:textId="77777777" w:rsidR="0093735A" w:rsidRDefault="00823EE0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167" w:type="dxa"/>
          </w:tcPr>
          <w:p w14:paraId="48237280" w14:textId="77777777" w:rsidR="0093735A" w:rsidRDefault="00823EE0">
            <w:pPr>
              <w:pStyle w:val="TableParagraph"/>
              <w:spacing w:before="116" w:line="360" w:lineRule="atLeast"/>
              <w:ind w:left="107" w:right="247"/>
              <w:rPr>
                <w:sz w:val="20"/>
              </w:rPr>
            </w:pPr>
            <w:r>
              <w:rPr>
                <w:w w:val="95"/>
                <w:sz w:val="20"/>
              </w:rPr>
              <w:t>若是屬於執行補助經費、委辦計畫經費或政府機構經費，應遵守撥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款單位相關規定辦理。</w:t>
            </w:r>
          </w:p>
        </w:tc>
        <w:tc>
          <w:tcPr>
            <w:tcW w:w="1379" w:type="dxa"/>
          </w:tcPr>
          <w:p w14:paraId="12EC659B" w14:textId="77777777" w:rsidR="0093735A" w:rsidRDefault="0093735A"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 w14:paraId="12029B44" w14:textId="77777777" w:rsidR="0093735A" w:rsidRDefault="00823EE0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70C67B81" w14:textId="77777777">
        <w:trPr>
          <w:trHeight w:val="900"/>
        </w:trPr>
        <w:tc>
          <w:tcPr>
            <w:tcW w:w="754" w:type="dxa"/>
          </w:tcPr>
          <w:p w14:paraId="0F272CD5" w14:textId="77777777" w:rsidR="0093735A" w:rsidRDefault="0093735A">
            <w:pPr>
              <w:pStyle w:val="TableParagraph"/>
              <w:spacing w:before="14"/>
              <w:rPr>
                <w:rFonts w:ascii="Microsoft YaHei UI"/>
                <w:b/>
                <w:sz w:val="23"/>
              </w:rPr>
            </w:pPr>
          </w:p>
          <w:p w14:paraId="6CEFA3FE" w14:textId="77777777" w:rsidR="0093735A" w:rsidRDefault="00823EE0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6167" w:type="dxa"/>
          </w:tcPr>
          <w:p w14:paraId="40734574" w14:textId="77777777" w:rsidR="0093735A" w:rsidRDefault="00823EE0">
            <w:pPr>
              <w:pStyle w:val="TableParagraph"/>
              <w:spacing w:before="116" w:line="360" w:lineRule="atLeast"/>
              <w:ind w:left="107" w:right="248"/>
              <w:rPr>
                <w:sz w:val="20"/>
              </w:rPr>
            </w:pPr>
            <w:r>
              <w:rPr>
                <w:w w:val="95"/>
                <w:sz w:val="20"/>
              </w:rPr>
              <w:t>經費支付及核銷，應本誠信原則，並對自己所提出之支出憑證及其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支付事實之真實性負責，如有不實，將負相關法律責任。</w:t>
            </w:r>
          </w:p>
        </w:tc>
        <w:tc>
          <w:tcPr>
            <w:tcW w:w="1379" w:type="dxa"/>
          </w:tcPr>
          <w:p w14:paraId="213C487C" w14:textId="77777777" w:rsidR="0093735A" w:rsidRDefault="0093735A"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 w14:paraId="20B5929E" w14:textId="77777777" w:rsidR="0093735A" w:rsidRDefault="00823EE0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286828C8" w14:textId="77777777">
        <w:trPr>
          <w:trHeight w:val="902"/>
        </w:trPr>
        <w:tc>
          <w:tcPr>
            <w:tcW w:w="754" w:type="dxa"/>
          </w:tcPr>
          <w:p w14:paraId="097D0857" w14:textId="77777777" w:rsidR="0093735A" w:rsidRDefault="0093735A">
            <w:pPr>
              <w:pStyle w:val="TableParagraph"/>
              <w:spacing w:before="15"/>
              <w:rPr>
                <w:rFonts w:ascii="Microsoft YaHei UI"/>
                <w:b/>
                <w:sz w:val="23"/>
              </w:rPr>
            </w:pPr>
          </w:p>
          <w:p w14:paraId="1CB5AA7B" w14:textId="77777777" w:rsidR="0093735A" w:rsidRDefault="00823EE0">
            <w:pPr>
              <w:pStyle w:val="TableParagraph"/>
              <w:spacing w:before="1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6167" w:type="dxa"/>
          </w:tcPr>
          <w:p w14:paraId="0059DEFE" w14:textId="77777777" w:rsidR="0093735A" w:rsidRDefault="00823EE0">
            <w:pPr>
              <w:pStyle w:val="TableParagraph"/>
              <w:spacing w:before="118" w:line="360" w:lineRule="atLeast"/>
              <w:ind w:left="107" w:right="248"/>
              <w:rPr>
                <w:sz w:val="20"/>
              </w:rPr>
            </w:pPr>
            <w:r>
              <w:rPr>
                <w:w w:val="95"/>
                <w:sz w:val="20"/>
              </w:rPr>
              <w:t>晉用計畫所需人員，應確實審核其資格，符合利益迴避原則，並依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人員聘任規定，經簽准後始聘用。</w:t>
            </w:r>
          </w:p>
        </w:tc>
        <w:tc>
          <w:tcPr>
            <w:tcW w:w="1379" w:type="dxa"/>
          </w:tcPr>
          <w:p w14:paraId="12CC737E" w14:textId="77777777" w:rsidR="0093735A" w:rsidRDefault="0093735A">
            <w:pPr>
              <w:pStyle w:val="TableParagraph"/>
              <w:spacing w:before="16"/>
              <w:rPr>
                <w:rFonts w:ascii="Microsoft YaHei UI"/>
                <w:b/>
                <w:sz w:val="15"/>
              </w:rPr>
            </w:pPr>
          </w:p>
          <w:p w14:paraId="48776B9C" w14:textId="77777777" w:rsidR="0093735A" w:rsidRDefault="00823EE0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1FA4763D" w14:textId="77777777">
        <w:trPr>
          <w:trHeight w:val="899"/>
        </w:trPr>
        <w:tc>
          <w:tcPr>
            <w:tcW w:w="754" w:type="dxa"/>
          </w:tcPr>
          <w:p w14:paraId="3EF135EE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23"/>
              </w:rPr>
            </w:pPr>
          </w:p>
          <w:p w14:paraId="46AECAEB" w14:textId="77777777" w:rsidR="0093735A" w:rsidRDefault="00823EE0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167" w:type="dxa"/>
          </w:tcPr>
          <w:p w14:paraId="3AAB82F2" w14:textId="77777777" w:rsidR="0093735A" w:rsidRDefault="00823EE0">
            <w:pPr>
              <w:pStyle w:val="TableParagraph"/>
              <w:spacing w:before="116" w:line="360" w:lineRule="atLeast"/>
              <w:ind w:left="107" w:right="248"/>
              <w:rPr>
                <w:sz w:val="20"/>
              </w:rPr>
            </w:pPr>
            <w:r>
              <w:rPr>
                <w:w w:val="95"/>
                <w:sz w:val="20"/>
              </w:rPr>
              <w:t>辦理財產、物品或勞務採購時，應依照相關規定辦理，且不得意圖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規避。</w:t>
            </w:r>
          </w:p>
        </w:tc>
        <w:tc>
          <w:tcPr>
            <w:tcW w:w="1379" w:type="dxa"/>
          </w:tcPr>
          <w:p w14:paraId="60CB5521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 w14:paraId="738DBD4F" w14:textId="77777777" w:rsidR="0093735A" w:rsidRDefault="00823EE0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6B733187" w14:textId="77777777">
        <w:trPr>
          <w:trHeight w:val="899"/>
        </w:trPr>
        <w:tc>
          <w:tcPr>
            <w:tcW w:w="754" w:type="dxa"/>
          </w:tcPr>
          <w:p w14:paraId="0358C36D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23"/>
              </w:rPr>
            </w:pPr>
          </w:p>
          <w:p w14:paraId="7F4DE816" w14:textId="77777777" w:rsidR="0093735A" w:rsidRDefault="00823EE0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6167" w:type="dxa"/>
          </w:tcPr>
          <w:p w14:paraId="6ACD9CBC" w14:textId="77777777" w:rsidR="0093735A" w:rsidRDefault="00823EE0">
            <w:pPr>
              <w:pStyle w:val="TableParagraph"/>
              <w:spacing w:before="116" w:line="360" w:lineRule="atLeast"/>
              <w:ind w:left="107" w:right="98"/>
              <w:rPr>
                <w:sz w:val="20"/>
              </w:rPr>
            </w:pPr>
            <w:r>
              <w:rPr>
                <w:spacing w:val="5"/>
                <w:w w:val="95"/>
                <w:sz w:val="20"/>
              </w:rPr>
              <w:t>辦理各項支付，超過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1 </w:t>
            </w:r>
            <w:r>
              <w:rPr>
                <w:w w:val="95"/>
                <w:sz w:val="20"/>
              </w:rPr>
              <w:t>萬元之款項應簽發支票或以</w:t>
            </w:r>
            <w:proofErr w:type="gramStart"/>
            <w:r>
              <w:rPr>
                <w:w w:val="95"/>
                <w:sz w:val="20"/>
              </w:rPr>
              <w:t>存帳入戶</w:t>
            </w:r>
            <w:proofErr w:type="gramEnd"/>
            <w:r>
              <w:rPr>
                <w:w w:val="95"/>
                <w:sz w:val="20"/>
              </w:rPr>
              <w:t>方式支付</w:t>
            </w:r>
            <w:r>
              <w:rPr>
                <w:sz w:val="20"/>
              </w:rPr>
              <w:t>廠商。</w:t>
            </w:r>
          </w:p>
        </w:tc>
        <w:tc>
          <w:tcPr>
            <w:tcW w:w="1379" w:type="dxa"/>
          </w:tcPr>
          <w:p w14:paraId="6D02C52A" w14:textId="77777777" w:rsidR="0093735A" w:rsidRDefault="0093735A">
            <w:pPr>
              <w:pStyle w:val="TableParagraph"/>
              <w:spacing w:before="13"/>
              <w:rPr>
                <w:rFonts w:ascii="Microsoft YaHei UI"/>
                <w:b/>
                <w:sz w:val="15"/>
              </w:rPr>
            </w:pPr>
          </w:p>
          <w:p w14:paraId="1E52D99D" w14:textId="77777777" w:rsidR="0093735A" w:rsidRDefault="00823EE0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6085C229" w14:textId="77777777">
        <w:trPr>
          <w:trHeight w:val="554"/>
        </w:trPr>
        <w:tc>
          <w:tcPr>
            <w:tcW w:w="754" w:type="dxa"/>
          </w:tcPr>
          <w:p w14:paraId="3D3FEB8C" w14:textId="77777777" w:rsidR="0093735A" w:rsidRDefault="0093735A">
            <w:pPr>
              <w:pStyle w:val="TableParagraph"/>
              <w:spacing w:before="1"/>
              <w:rPr>
                <w:rFonts w:ascii="Microsoft YaHei UI"/>
                <w:b/>
                <w:sz w:val="14"/>
              </w:rPr>
            </w:pPr>
          </w:p>
          <w:p w14:paraId="583C3C17" w14:textId="77777777" w:rsidR="0093735A" w:rsidRDefault="00823EE0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6167" w:type="dxa"/>
          </w:tcPr>
          <w:p w14:paraId="19DA1D38" w14:textId="77777777" w:rsidR="0093735A" w:rsidRDefault="0093735A">
            <w:pPr>
              <w:pStyle w:val="TableParagraph"/>
              <w:spacing w:before="6"/>
              <w:rPr>
                <w:rFonts w:ascii="Microsoft YaHei UI"/>
                <w:b/>
                <w:sz w:val="12"/>
              </w:rPr>
            </w:pPr>
          </w:p>
          <w:p w14:paraId="5F9F9F2B" w14:textId="77777777" w:rsidR="0093735A" w:rsidRDefault="00823EE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若有特殊情況須由承辦人先行預借款項或墊付者，應事先簽准。</w:t>
            </w:r>
          </w:p>
        </w:tc>
        <w:tc>
          <w:tcPr>
            <w:tcW w:w="1379" w:type="dxa"/>
          </w:tcPr>
          <w:p w14:paraId="09AA2CCF" w14:textId="77777777" w:rsidR="0093735A" w:rsidRDefault="00823EE0">
            <w:pPr>
              <w:pStyle w:val="TableParagraph"/>
              <w:spacing w:before="110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5A2EF8C1" w14:textId="77777777">
        <w:trPr>
          <w:trHeight w:val="1259"/>
        </w:trPr>
        <w:tc>
          <w:tcPr>
            <w:tcW w:w="754" w:type="dxa"/>
          </w:tcPr>
          <w:p w14:paraId="06768B3F" w14:textId="77777777" w:rsidR="0093735A" w:rsidRDefault="0093735A">
            <w:pPr>
              <w:pStyle w:val="TableParagraph"/>
              <w:rPr>
                <w:rFonts w:ascii="Microsoft YaHei UI"/>
                <w:b/>
              </w:rPr>
            </w:pPr>
          </w:p>
          <w:p w14:paraId="0CC89607" w14:textId="77777777" w:rsidR="0093735A" w:rsidRDefault="0093735A">
            <w:pPr>
              <w:pStyle w:val="TableParagraph"/>
              <w:spacing w:before="15"/>
              <w:rPr>
                <w:rFonts w:ascii="Microsoft YaHei UI"/>
                <w:b/>
                <w:sz w:val="11"/>
              </w:rPr>
            </w:pPr>
          </w:p>
          <w:p w14:paraId="06304F7B" w14:textId="77777777" w:rsidR="0093735A" w:rsidRDefault="00823EE0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8</w:t>
            </w:r>
          </w:p>
        </w:tc>
        <w:tc>
          <w:tcPr>
            <w:tcW w:w="6167" w:type="dxa"/>
          </w:tcPr>
          <w:p w14:paraId="0665D95C" w14:textId="77777777" w:rsidR="0093735A" w:rsidRDefault="00823EE0">
            <w:pPr>
              <w:pStyle w:val="TableParagraph"/>
              <w:spacing w:before="116" w:line="360" w:lineRule="atLeast"/>
              <w:ind w:left="107" w:right="24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支付外面人員報酬，應事先扣下稅款、補充保費等代扣款項，並即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時上繳出納，以</w:t>
            </w:r>
            <w:proofErr w:type="gramStart"/>
            <w:r>
              <w:rPr>
                <w:w w:val="95"/>
                <w:sz w:val="20"/>
              </w:rPr>
              <w:t>利向公庫撥繳</w:t>
            </w:r>
            <w:proofErr w:type="gramEnd"/>
            <w:r>
              <w:rPr>
                <w:w w:val="95"/>
                <w:sz w:val="20"/>
              </w:rPr>
              <w:t>。若有扣錯金額應自行負責處理後續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及彌補金額。</w:t>
            </w:r>
          </w:p>
        </w:tc>
        <w:tc>
          <w:tcPr>
            <w:tcW w:w="1379" w:type="dxa"/>
          </w:tcPr>
          <w:p w14:paraId="0C505054" w14:textId="77777777" w:rsidR="0093735A" w:rsidRDefault="0093735A"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 w14:paraId="002658F2" w14:textId="77777777" w:rsidR="0093735A" w:rsidRDefault="00823EE0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  <w:tr w:rsidR="0093735A" w14:paraId="65034A08" w14:textId="77777777">
        <w:trPr>
          <w:trHeight w:val="1262"/>
        </w:trPr>
        <w:tc>
          <w:tcPr>
            <w:tcW w:w="754" w:type="dxa"/>
          </w:tcPr>
          <w:p w14:paraId="5709F0D6" w14:textId="77777777" w:rsidR="0093735A" w:rsidRDefault="0093735A">
            <w:pPr>
              <w:pStyle w:val="TableParagraph"/>
              <w:rPr>
                <w:rFonts w:ascii="Microsoft YaHei UI"/>
                <w:b/>
              </w:rPr>
            </w:pPr>
          </w:p>
          <w:p w14:paraId="3369191C" w14:textId="77777777" w:rsidR="0093735A" w:rsidRDefault="0093735A">
            <w:pPr>
              <w:pStyle w:val="TableParagraph"/>
              <w:rPr>
                <w:rFonts w:ascii="Microsoft YaHei UI"/>
                <w:b/>
                <w:sz w:val="12"/>
              </w:rPr>
            </w:pPr>
          </w:p>
          <w:p w14:paraId="61F51911" w14:textId="77777777" w:rsidR="0093735A" w:rsidRDefault="00823EE0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9</w:t>
            </w:r>
          </w:p>
        </w:tc>
        <w:tc>
          <w:tcPr>
            <w:tcW w:w="6167" w:type="dxa"/>
          </w:tcPr>
          <w:p w14:paraId="12CF8F79" w14:textId="77777777" w:rsidR="0093735A" w:rsidRDefault="00823EE0">
            <w:pPr>
              <w:pStyle w:val="TableParagraph"/>
              <w:spacing w:before="118" w:line="360" w:lineRule="atLeast"/>
              <w:ind w:left="107" w:right="24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若對執行政府機構補助經費等應遵守的規定有疑慮時，請上網參閱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教育部頒布之「大學校院及教師辦理計畫經費核銷重要規定及作業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釋疑」。</w:t>
            </w:r>
          </w:p>
        </w:tc>
        <w:tc>
          <w:tcPr>
            <w:tcW w:w="1379" w:type="dxa"/>
          </w:tcPr>
          <w:p w14:paraId="3FBFD6D2" w14:textId="77777777" w:rsidR="0093735A" w:rsidRDefault="0093735A">
            <w:pPr>
              <w:pStyle w:val="TableParagraph"/>
              <w:rPr>
                <w:rFonts w:ascii="Microsoft YaHei UI"/>
                <w:b/>
                <w:sz w:val="26"/>
              </w:rPr>
            </w:pPr>
          </w:p>
          <w:p w14:paraId="3DA1032A" w14:textId="77777777" w:rsidR="0093735A" w:rsidRDefault="00823EE0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已瞭解</w:t>
            </w:r>
          </w:p>
        </w:tc>
      </w:tr>
    </w:tbl>
    <w:p w14:paraId="4A3C04B3" w14:textId="77777777" w:rsidR="0093735A" w:rsidRDefault="00823EE0">
      <w:pPr>
        <w:pStyle w:val="a3"/>
        <w:tabs>
          <w:tab w:val="left" w:pos="8379"/>
        </w:tabs>
        <w:spacing w:before="192"/>
        <w:ind w:left="17"/>
        <w:jc w:val="center"/>
        <w:rPr>
          <w:rFonts w:ascii="Times New Roman" w:eastAsia="Times New Roman"/>
        </w:rPr>
      </w:pPr>
      <w:r>
        <w:rPr>
          <w:spacing w:val="-1"/>
        </w:rPr>
        <w:t>單</w:t>
      </w:r>
      <w:r>
        <w:t>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B8D212A" w14:textId="77777777" w:rsidR="0093735A" w:rsidRDefault="0093735A">
      <w:pPr>
        <w:pStyle w:val="a3"/>
        <w:spacing w:before="5"/>
        <w:rPr>
          <w:rFonts w:ascii="Times New Roman"/>
          <w:sz w:val="29"/>
        </w:rPr>
      </w:pPr>
    </w:p>
    <w:p w14:paraId="703E35CD" w14:textId="77777777" w:rsidR="0093735A" w:rsidRDefault="00823EE0">
      <w:pPr>
        <w:pStyle w:val="a3"/>
        <w:tabs>
          <w:tab w:val="left" w:pos="8483"/>
        </w:tabs>
        <w:spacing w:before="74"/>
        <w:ind w:left="120"/>
        <w:rPr>
          <w:rFonts w:ascii="Times New Roman" w:eastAsia="Times New Roman"/>
        </w:rPr>
      </w:pPr>
      <w:r>
        <w:rPr>
          <w:spacing w:val="-1"/>
        </w:rPr>
        <w:t>承</w:t>
      </w:r>
      <w:r>
        <w:t>辦人</w:t>
      </w:r>
      <w:r>
        <w:t>(</w:t>
      </w:r>
      <w:proofErr w:type="gramStart"/>
      <w:r>
        <w:t>親簽</w:t>
      </w:r>
      <w:proofErr w:type="gramEnd"/>
      <w:r>
        <w:t>)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1DA2E8E5" w14:textId="77777777" w:rsidR="0093735A" w:rsidRDefault="0093735A">
      <w:pPr>
        <w:pStyle w:val="a3"/>
        <w:spacing w:before="5"/>
        <w:rPr>
          <w:rFonts w:ascii="Times New Roman"/>
          <w:sz w:val="29"/>
        </w:rPr>
      </w:pPr>
    </w:p>
    <w:p w14:paraId="0DCD5091" w14:textId="77777777" w:rsidR="0093735A" w:rsidRDefault="00823EE0">
      <w:pPr>
        <w:pStyle w:val="a3"/>
        <w:tabs>
          <w:tab w:val="left" w:pos="8483"/>
        </w:tabs>
        <w:spacing w:before="74"/>
        <w:ind w:left="120"/>
        <w:rPr>
          <w:rFonts w:ascii="Times New Roman" w:eastAsia="Times New Roman"/>
        </w:rPr>
      </w:pPr>
      <w:r>
        <w:t>單位主管</w:t>
      </w:r>
      <w:r>
        <w:t>(</w:t>
      </w:r>
      <w:r>
        <w:t>或計畫主持人</w:t>
      </w:r>
      <w:r>
        <w:t>)</w:t>
      </w:r>
      <w:r>
        <w:rPr>
          <w:spacing w:val="-1"/>
        </w:rPr>
        <w:t xml:space="preserve"> </w:t>
      </w:r>
      <w:r>
        <w:t>(</w:t>
      </w:r>
      <w:proofErr w:type="gramStart"/>
      <w:r>
        <w:t>親簽</w:t>
      </w:r>
      <w:proofErr w:type="gramEnd"/>
      <w:r>
        <w:t>)</w:t>
      </w:r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18988712" w14:textId="77777777" w:rsidR="0093735A" w:rsidRDefault="0093735A">
      <w:pPr>
        <w:pStyle w:val="a3"/>
        <w:rPr>
          <w:rFonts w:ascii="Times New Roman"/>
          <w:sz w:val="20"/>
        </w:rPr>
      </w:pPr>
    </w:p>
    <w:p w14:paraId="2E828074" w14:textId="77777777" w:rsidR="0093735A" w:rsidRDefault="0093735A">
      <w:pPr>
        <w:pStyle w:val="a3"/>
        <w:rPr>
          <w:rFonts w:ascii="Times New Roman"/>
          <w:sz w:val="20"/>
        </w:rPr>
      </w:pPr>
    </w:p>
    <w:p w14:paraId="5F869D7B" w14:textId="77777777" w:rsidR="0093735A" w:rsidRDefault="0093735A">
      <w:pPr>
        <w:pStyle w:val="a3"/>
        <w:spacing w:before="8"/>
        <w:rPr>
          <w:rFonts w:ascii="Times New Roman"/>
          <w:sz w:val="22"/>
        </w:rPr>
      </w:pPr>
    </w:p>
    <w:p w14:paraId="4A54727E" w14:textId="77777777" w:rsidR="0093735A" w:rsidRDefault="00823EE0">
      <w:pPr>
        <w:pStyle w:val="a3"/>
        <w:tabs>
          <w:tab w:val="left" w:pos="1080"/>
          <w:tab w:val="left" w:pos="2040"/>
          <w:tab w:val="left" w:pos="3000"/>
          <w:tab w:val="left" w:pos="4681"/>
          <w:tab w:val="left" w:pos="6361"/>
          <w:tab w:val="left" w:pos="8041"/>
        </w:tabs>
        <w:spacing w:before="52"/>
        <w:ind w:left="120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 w:rsidR="0093735A">
      <w:type w:val="continuous"/>
      <w:pgSz w:w="11910" w:h="16840"/>
      <w:pgMar w:top="156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35A"/>
    <w:rsid w:val="00823EE0"/>
    <w:rsid w:val="009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7CF9"/>
  <w15:docId w15:val="{D498649A-3FC3-4E04-88D1-5E4C571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17" w:right="5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2022-11-24T03:38:00Z</dcterms:created>
  <dcterms:modified xsi:type="dcterms:W3CDTF">2022-11-24T03:41:00Z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2022-11-24T00:00:00Z</vt:filetime>
  </property>
</Properties>
</file>