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98" w:rsidRDefault="00B34281" w:rsidP="00B34281">
      <w:pPr>
        <w:spacing w:line="560" w:lineRule="exact"/>
        <w:jc w:val="center"/>
        <w:rPr>
          <w:rFonts w:ascii="微軟正黑體" w:eastAsia="微軟正黑體" w:hAnsi="微軟正黑體"/>
          <w:b/>
          <w:sz w:val="40"/>
          <w:szCs w:val="40"/>
        </w:rPr>
      </w:pPr>
      <w:r w:rsidRPr="00B34281">
        <w:rPr>
          <w:rFonts w:ascii="微軟正黑體" w:eastAsia="微軟正黑體" w:hAnsi="微軟正黑體" w:hint="eastAsia"/>
          <w:b/>
          <w:sz w:val="40"/>
          <w:szCs w:val="40"/>
        </w:rPr>
        <w:t>復興藝術實驗學院</w:t>
      </w:r>
    </w:p>
    <w:p w:rsidR="00B34281" w:rsidRPr="00B34281" w:rsidRDefault="00B34281" w:rsidP="00B34281">
      <w:pPr>
        <w:spacing w:line="560" w:lineRule="exact"/>
        <w:jc w:val="center"/>
        <w:rPr>
          <w:rFonts w:ascii="微軟正黑體" w:eastAsia="微軟正黑體" w:hAnsi="微軟正黑體"/>
          <w:b/>
          <w:sz w:val="40"/>
          <w:szCs w:val="40"/>
        </w:rPr>
      </w:pPr>
      <w:r w:rsidRPr="00B34281">
        <w:rPr>
          <w:rFonts w:ascii="微軟正黑體" w:eastAsia="微軟正黑體" w:hAnsi="微軟正黑體" w:hint="eastAsia"/>
          <w:b/>
          <w:sz w:val="40"/>
          <w:szCs w:val="40"/>
        </w:rPr>
        <w:t>教師聘任暨資格審定辦法</w:t>
      </w:r>
    </w:p>
    <w:p w:rsidR="00B34281" w:rsidRPr="00B34281" w:rsidRDefault="00B34281" w:rsidP="00B34281">
      <w:pPr>
        <w:spacing w:line="360" w:lineRule="exact"/>
        <w:jc w:val="right"/>
        <w:rPr>
          <w:rFonts w:ascii="微軟正黑體" w:eastAsia="微軟正黑體" w:hAnsi="微軟正黑體"/>
          <w:sz w:val="24"/>
          <w:szCs w:val="24"/>
        </w:rPr>
      </w:pPr>
      <w:r w:rsidRPr="00B34281">
        <w:rPr>
          <w:rFonts w:ascii="微軟正黑體" w:eastAsia="微軟正黑體" w:hAnsi="微軟正黑體" w:hint="eastAsia"/>
          <w:sz w:val="24"/>
          <w:szCs w:val="24"/>
        </w:rPr>
        <w:t>民國</w:t>
      </w:r>
      <w:r>
        <w:rPr>
          <w:rFonts w:ascii="微軟正黑體" w:eastAsia="微軟正黑體" w:hAnsi="微軟正黑體" w:hint="eastAsia"/>
          <w:sz w:val="24"/>
          <w:szCs w:val="24"/>
        </w:rPr>
        <w:t xml:space="preserve">    </w:t>
      </w:r>
      <w:r w:rsidRPr="00B34281">
        <w:rPr>
          <w:rFonts w:ascii="微軟正黑體" w:eastAsia="微軟正黑體" w:hAnsi="微軟正黑體"/>
          <w:sz w:val="24"/>
          <w:szCs w:val="24"/>
        </w:rPr>
        <w:t>年</w:t>
      </w:r>
      <w:r>
        <w:rPr>
          <w:rFonts w:ascii="微軟正黑體" w:eastAsia="微軟正黑體" w:hAnsi="微軟正黑體" w:hint="eastAsia"/>
          <w:sz w:val="24"/>
          <w:szCs w:val="24"/>
        </w:rPr>
        <w:t xml:space="preserve">  </w:t>
      </w:r>
      <w:r w:rsidRPr="00B34281">
        <w:rPr>
          <w:rFonts w:ascii="微軟正黑體" w:eastAsia="微軟正黑體" w:hAnsi="微軟正黑體"/>
          <w:sz w:val="24"/>
          <w:szCs w:val="24"/>
        </w:rPr>
        <w:t>月</w:t>
      </w:r>
      <w:r>
        <w:rPr>
          <w:rFonts w:ascii="微軟正黑體" w:eastAsia="微軟正黑體" w:hAnsi="微軟正黑體" w:hint="eastAsia"/>
          <w:sz w:val="24"/>
          <w:szCs w:val="24"/>
        </w:rPr>
        <w:t xml:space="preserve">   </w:t>
      </w:r>
      <w:r w:rsidRPr="00B34281">
        <w:rPr>
          <w:rFonts w:ascii="微軟正黑體" w:eastAsia="微軟正黑體" w:hAnsi="微軟正黑體"/>
          <w:sz w:val="24"/>
          <w:szCs w:val="24"/>
        </w:rPr>
        <w:t>日校務會議修正通過</w:t>
      </w:r>
    </w:p>
    <w:p w:rsidR="00B34281" w:rsidRPr="00B34281" w:rsidRDefault="00B34281" w:rsidP="00B34281">
      <w:pPr>
        <w:spacing w:line="360" w:lineRule="exact"/>
        <w:ind w:left="1418" w:hanging="1418"/>
        <w:rPr>
          <w:rFonts w:ascii="微軟正黑體" w:eastAsia="微軟正黑體" w:hAnsi="微軟正黑體"/>
          <w:sz w:val="24"/>
          <w:szCs w:val="24"/>
        </w:rPr>
      </w:pPr>
    </w:p>
    <w:p w:rsidR="00B34281" w:rsidRPr="000E0E22" w:rsidRDefault="00B34281" w:rsidP="000E0E22">
      <w:pPr>
        <w:spacing w:line="360" w:lineRule="exact"/>
        <w:jc w:val="center"/>
        <w:rPr>
          <w:rFonts w:ascii="微軟正黑體" w:eastAsia="微軟正黑體" w:hAnsi="微軟正黑體"/>
          <w:b/>
          <w:sz w:val="28"/>
          <w:szCs w:val="28"/>
        </w:rPr>
      </w:pPr>
      <w:r w:rsidRPr="000E0E22">
        <w:rPr>
          <w:rFonts w:ascii="微軟正黑體" w:eastAsia="微軟正黑體" w:hAnsi="微軟正黑體" w:hint="eastAsia"/>
          <w:b/>
          <w:sz w:val="28"/>
          <w:szCs w:val="28"/>
        </w:rPr>
        <w:t xml:space="preserve">第一章    </w:t>
      </w:r>
      <w:r w:rsidRPr="000E0E22">
        <w:rPr>
          <w:rFonts w:ascii="微軟正黑體" w:eastAsia="微軟正黑體" w:hAnsi="微軟正黑體"/>
          <w:b/>
          <w:sz w:val="28"/>
          <w:szCs w:val="28"/>
        </w:rPr>
        <w:t>總則</w:t>
      </w: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校教師之聘任（含新聘、改聘、停聘、不續聘及解聘等）及資格審查，除依大學法、大學法施行細則、教育人員任用條例、教育人員任用條例施行細則、教師法、教師法施行細則、專科以上學校教師資格審定辦法等有關法規辦理外，悉依本辦法辦理之。</w:t>
      </w:r>
    </w:p>
    <w:p w:rsidR="00B34281" w:rsidRPr="00B34281" w:rsidRDefault="00B34281" w:rsidP="00B34281">
      <w:pPr>
        <w:pStyle w:val="a4"/>
        <w:spacing w:line="360" w:lineRule="exact"/>
        <w:ind w:left="1418"/>
        <w:rPr>
          <w:rFonts w:ascii="微軟正黑體" w:eastAsia="微軟正黑體" w:hAnsi="微軟正黑體" w:hint="eastAsia"/>
          <w:sz w:val="24"/>
          <w:szCs w:val="24"/>
        </w:rPr>
      </w:pP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本校教師之聘任及資格審定，採評審方式辦理。</w:t>
      </w:r>
    </w:p>
    <w:p w:rsidR="00B34281" w:rsidRPr="00B34281" w:rsidRDefault="00B34281" w:rsidP="00B34281">
      <w:pPr>
        <w:spacing w:line="360" w:lineRule="exact"/>
        <w:rPr>
          <w:rFonts w:ascii="微軟正黑體" w:eastAsia="微軟正黑體" w:hAnsi="微軟正黑體" w:hint="eastAsia"/>
          <w:sz w:val="24"/>
          <w:szCs w:val="24"/>
        </w:rPr>
      </w:pPr>
    </w:p>
    <w:p w:rsidR="00B34281" w:rsidRPr="000E0E22" w:rsidRDefault="00B34281" w:rsidP="000E0E22">
      <w:pPr>
        <w:spacing w:line="360" w:lineRule="exact"/>
        <w:jc w:val="center"/>
        <w:rPr>
          <w:rFonts w:ascii="微軟正黑體" w:eastAsia="微軟正黑體" w:hAnsi="微軟正黑體"/>
          <w:b/>
          <w:sz w:val="28"/>
          <w:szCs w:val="28"/>
        </w:rPr>
      </w:pPr>
      <w:r w:rsidRPr="000E0E22">
        <w:rPr>
          <w:rFonts w:ascii="微軟正黑體" w:eastAsia="微軟正黑體" w:hAnsi="微軟正黑體"/>
          <w:b/>
          <w:sz w:val="28"/>
          <w:szCs w:val="28"/>
        </w:rPr>
        <w:t>第二章</w:t>
      </w:r>
      <w:r w:rsidRPr="000E0E22">
        <w:rPr>
          <w:rFonts w:ascii="微軟正黑體" w:eastAsia="微軟正黑體" w:hAnsi="微軟正黑體"/>
          <w:b/>
          <w:sz w:val="28"/>
          <w:szCs w:val="28"/>
        </w:rPr>
        <w:tab/>
        <w:t>聘任</w:t>
      </w: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本校新聘教師除須具有教育人員任用條例有關教師聘任資格外，須為品德優良、學養豐富、具服務熱誠，且對於擬聘系所之教學、研究及發展確有所助益者。</w:t>
      </w:r>
    </w:p>
    <w:p w:rsidR="0041566C" w:rsidRPr="00B34281" w:rsidRDefault="0041566C" w:rsidP="0041566C">
      <w:pPr>
        <w:pStyle w:val="a4"/>
        <w:spacing w:line="360" w:lineRule="exact"/>
        <w:ind w:left="1418"/>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擬聘教師須檢附證件如下：</w:t>
      </w:r>
    </w:p>
    <w:p w:rsidR="00B34281" w:rsidRPr="00B34281" w:rsidRDefault="00B34281" w:rsidP="0041566C">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擬聘表。</w:t>
      </w:r>
    </w:p>
    <w:p w:rsidR="00B34281" w:rsidRPr="00B34281" w:rsidRDefault="00B34281" w:rsidP="0041566C">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履歷表（含著作目錄）。</w:t>
      </w:r>
    </w:p>
    <w:p w:rsidR="00B34281" w:rsidRPr="00B34281" w:rsidRDefault="00B34281" w:rsidP="0041566C">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學經歷證件（含學位論文）。</w:t>
      </w:r>
    </w:p>
    <w:p w:rsidR="00B34281" w:rsidRPr="00B34281" w:rsidRDefault="00B34281" w:rsidP="0041566C">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最近五年內著作。</w:t>
      </w:r>
    </w:p>
    <w:p w:rsidR="00B34281" w:rsidRDefault="00B34281" w:rsidP="0041566C">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三封推薦信，本校主動邀聘者得免附。</w:t>
      </w:r>
    </w:p>
    <w:p w:rsidR="0041566C" w:rsidRPr="00B34281" w:rsidRDefault="0041566C" w:rsidP="0041566C">
      <w:pPr>
        <w:pStyle w:val="a4"/>
        <w:spacing w:line="360" w:lineRule="exact"/>
        <w:ind w:left="1418"/>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新聘教師之聘任審查程序如下：</w:t>
      </w:r>
    </w:p>
    <w:p w:rsidR="00B34281" w:rsidRDefault="00B34281" w:rsidP="0041566C">
      <w:pPr>
        <w:pStyle w:val="a4"/>
        <w:numPr>
          <w:ilvl w:val="3"/>
          <w:numId w:val="13"/>
        </w:numPr>
        <w:spacing w:line="360" w:lineRule="exact"/>
        <w:rPr>
          <w:rFonts w:ascii="微軟正黑體" w:eastAsia="微軟正黑體" w:hAnsi="微軟正黑體"/>
          <w:sz w:val="24"/>
          <w:szCs w:val="24"/>
        </w:rPr>
      </w:pPr>
      <w:r w:rsidRPr="0041566C">
        <w:rPr>
          <w:rFonts w:ascii="微軟正黑體" w:eastAsia="微軟正黑體" w:hAnsi="微軟正黑體"/>
          <w:sz w:val="24"/>
          <w:szCs w:val="24"/>
        </w:rPr>
        <w:t>人事室依用人單位所提需求（包含課程需要、教師專長）公告後，將應徵者資料提新聘教師甄選委員會資格審查，審查意見供</w:t>
      </w:r>
      <w:r w:rsidRPr="00543F46">
        <w:rPr>
          <w:rFonts w:ascii="微軟正黑體" w:eastAsia="微軟正黑體" w:hAnsi="微軟正黑體"/>
          <w:color w:val="FF0000"/>
          <w:sz w:val="24"/>
          <w:szCs w:val="24"/>
        </w:rPr>
        <w:t>各</w:t>
      </w:r>
      <w:r w:rsidR="00543F46" w:rsidRPr="00543F46">
        <w:rPr>
          <w:rFonts w:ascii="微軟正黑體" w:eastAsia="微軟正黑體" w:hAnsi="微軟正黑體" w:hint="eastAsia"/>
          <w:color w:val="FF0000"/>
          <w:sz w:val="24"/>
          <w:szCs w:val="24"/>
        </w:rPr>
        <w:t>系</w:t>
      </w:r>
      <w:r w:rsidRPr="0041566C">
        <w:rPr>
          <w:rFonts w:ascii="微軟正黑體" w:eastAsia="微軟正黑體" w:hAnsi="微軟正黑體"/>
          <w:sz w:val="24"/>
          <w:szCs w:val="24"/>
        </w:rPr>
        <w:t>或共同課程委員會所設教師評審委員會初審與校教師評審委員會</w:t>
      </w:r>
      <w:r w:rsidRPr="0041566C">
        <w:rPr>
          <w:rFonts w:ascii="微軟正黑體" w:eastAsia="微軟正黑體" w:hAnsi="微軟正黑體" w:hint="eastAsia"/>
          <w:sz w:val="24"/>
          <w:szCs w:val="24"/>
        </w:rPr>
        <w:t>決審參考。</w:t>
      </w:r>
    </w:p>
    <w:p w:rsidR="00B34281" w:rsidRPr="00543F46" w:rsidRDefault="00543F46" w:rsidP="0041566C">
      <w:pPr>
        <w:pStyle w:val="a4"/>
        <w:numPr>
          <w:ilvl w:val="3"/>
          <w:numId w:val="13"/>
        </w:numPr>
        <w:spacing w:line="360" w:lineRule="exact"/>
        <w:rPr>
          <w:rFonts w:ascii="微軟正黑體" w:eastAsia="微軟正黑體" w:hAnsi="微軟正黑體"/>
          <w:color w:val="FF0000"/>
          <w:sz w:val="24"/>
          <w:szCs w:val="24"/>
        </w:rPr>
      </w:pPr>
      <w:r w:rsidRPr="00543F46">
        <w:rPr>
          <w:rFonts w:ascii="微軟正黑體" w:eastAsia="微軟正黑體" w:hAnsi="微軟正黑體" w:hint="eastAsia"/>
          <w:color w:val="FF0000"/>
          <w:sz w:val="24"/>
          <w:szCs w:val="24"/>
        </w:rPr>
        <w:t>系</w:t>
      </w:r>
      <w:r w:rsidR="00B34281" w:rsidRPr="00543F46">
        <w:rPr>
          <w:rFonts w:ascii="微軟正黑體" w:eastAsia="微軟正黑體" w:hAnsi="微軟正黑體"/>
          <w:color w:val="FF0000"/>
          <w:sz w:val="24"/>
          <w:szCs w:val="24"/>
        </w:rPr>
        <w:t>級教評會初審應評估專業、教學、研究及服務，並得邀請</w:t>
      </w:r>
      <w:r w:rsidR="00B34281" w:rsidRPr="00543F46">
        <w:rPr>
          <w:rFonts w:ascii="微軟正黑體" w:eastAsia="微軟正黑體" w:hAnsi="微軟正黑體" w:hint="eastAsia"/>
          <w:color w:val="FF0000"/>
          <w:sz w:val="24"/>
          <w:szCs w:val="24"/>
        </w:rPr>
        <w:t>試教及做成建議案。</w:t>
      </w:r>
    </w:p>
    <w:p w:rsidR="00B34281" w:rsidRDefault="00B34281" w:rsidP="0041566C">
      <w:pPr>
        <w:pStyle w:val="a4"/>
        <w:numPr>
          <w:ilvl w:val="3"/>
          <w:numId w:val="13"/>
        </w:numPr>
        <w:spacing w:line="360" w:lineRule="exact"/>
        <w:rPr>
          <w:rFonts w:ascii="微軟正黑體" w:eastAsia="微軟正黑體" w:hAnsi="微軟正黑體"/>
          <w:sz w:val="24"/>
          <w:szCs w:val="24"/>
        </w:rPr>
      </w:pPr>
      <w:r w:rsidRPr="0041566C">
        <w:rPr>
          <w:rFonts w:ascii="微軟正黑體" w:eastAsia="微軟正黑體" w:hAnsi="微軟正黑體"/>
          <w:sz w:val="24"/>
          <w:szCs w:val="24"/>
        </w:rPr>
        <w:t>初審建議案提校教評會決審。</w:t>
      </w:r>
    </w:p>
    <w:p w:rsidR="00B34281" w:rsidRPr="0041566C" w:rsidRDefault="00B34281" w:rsidP="0041566C">
      <w:pPr>
        <w:pStyle w:val="a4"/>
        <w:numPr>
          <w:ilvl w:val="3"/>
          <w:numId w:val="13"/>
        </w:numPr>
        <w:spacing w:line="360" w:lineRule="exact"/>
        <w:rPr>
          <w:rFonts w:ascii="微軟正黑體" w:eastAsia="微軟正黑體" w:hAnsi="微軟正黑體"/>
          <w:sz w:val="24"/>
          <w:szCs w:val="24"/>
        </w:rPr>
      </w:pPr>
      <w:r w:rsidRPr="0041566C">
        <w:rPr>
          <w:rFonts w:ascii="微軟正黑體" w:eastAsia="微軟正黑體" w:hAnsi="微軟正黑體"/>
          <w:sz w:val="24"/>
          <w:szCs w:val="24"/>
        </w:rPr>
        <w:t>決審通過後，簽請校長聘任之。</w:t>
      </w:r>
    </w:p>
    <w:p w:rsidR="00B34281" w:rsidRDefault="00B34281" w:rsidP="00543F46">
      <w:pPr>
        <w:spacing w:line="360" w:lineRule="exact"/>
        <w:ind w:leftChars="644" w:left="1417" w:firstLine="1"/>
        <w:rPr>
          <w:rFonts w:ascii="微軟正黑體" w:eastAsia="微軟正黑體" w:hAnsi="微軟正黑體"/>
          <w:sz w:val="24"/>
          <w:szCs w:val="24"/>
        </w:rPr>
      </w:pPr>
      <w:r w:rsidRPr="0041566C">
        <w:rPr>
          <w:rFonts w:ascii="微軟正黑體" w:eastAsia="微軟正黑體" w:hAnsi="微軟正黑體" w:hint="eastAsia"/>
          <w:sz w:val="24"/>
          <w:szCs w:val="24"/>
        </w:rPr>
        <w:t>新聘教師甄選委員會由校長指派教務長、相關院系主管及人事室主任組成，就資格要件及文件審查，必要時得邀請候選人面試。</w:t>
      </w:r>
    </w:p>
    <w:p w:rsidR="0041566C" w:rsidRPr="0041566C" w:rsidRDefault="0041566C" w:rsidP="0041566C">
      <w:pPr>
        <w:spacing w:line="360" w:lineRule="exact"/>
        <w:ind w:leftChars="600" w:left="1320"/>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543F46">
        <w:rPr>
          <w:rFonts w:ascii="微軟正黑體" w:eastAsia="微軟正黑體" w:hAnsi="微軟正黑體"/>
          <w:color w:val="FF0000"/>
          <w:sz w:val="24"/>
          <w:szCs w:val="24"/>
        </w:rPr>
        <w:t>各級教評會</w:t>
      </w:r>
      <w:r w:rsidRPr="00B34281">
        <w:rPr>
          <w:rFonts w:ascii="微軟正黑體" w:eastAsia="微軟正黑體" w:hAnsi="微軟正黑體"/>
          <w:sz w:val="24"/>
          <w:szCs w:val="24"/>
        </w:rPr>
        <w:t>依據教育人員任用條例第十六條第一款審議送審講師資格（含舊制助教依教育人員任用條例第三十條之一送審講師資格者）及第十六條之一第一款送審助理教授資格時，應針對其送審學歷之修業成績進行評定，成績達七十五分以上者視為成績優良。</w:t>
      </w:r>
    </w:p>
    <w:p w:rsidR="00B34281" w:rsidRPr="0041566C" w:rsidRDefault="00B34281" w:rsidP="00543F46">
      <w:pPr>
        <w:spacing w:line="360" w:lineRule="exact"/>
        <w:ind w:leftChars="644" w:left="1417" w:firstLine="1"/>
        <w:rPr>
          <w:rFonts w:ascii="微軟正黑體" w:eastAsia="微軟正黑體" w:hAnsi="微軟正黑體"/>
          <w:sz w:val="24"/>
          <w:szCs w:val="24"/>
        </w:rPr>
      </w:pPr>
      <w:r w:rsidRPr="00543F46">
        <w:rPr>
          <w:rFonts w:ascii="微軟正黑體" w:eastAsia="微軟正黑體" w:hAnsi="微軟正黑體" w:hint="eastAsia"/>
          <w:color w:val="FF0000"/>
          <w:sz w:val="24"/>
          <w:szCs w:val="24"/>
        </w:rPr>
        <w:t>各院級教評會</w:t>
      </w:r>
      <w:r w:rsidRPr="0041566C">
        <w:rPr>
          <w:rFonts w:ascii="微軟正黑體" w:eastAsia="微軟正黑體" w:hAnsi="微軟正黑體" w:hint="eastAsia"/>
          <w:sz w:val="24"/>
          <w:szCs w:val="24"/>
        </w:rPr>
        <w:t>依教育人員任用條例第十六條之一第一款審查送審助理教授資格</w:t>
      </w:r>
      <w:r w:rsidRPr="0041566C">
        <w:rPr>
          <w:rFonts w:ascii="微軟正黑體" w:eastAsia="微軟正黑體" w:hAnsi="微軟正黑體" w:hint="eastAsia"/>
          <w:sz w:val="24"/>
          <w:szCs w:val="24"/>
        </w:rPr>
        <w:lastRenderedPageBreak/>
        <w:t>者，應將其專門著作（含學位論文）送請校外專家學者三人進行審查，二位審查人給予及格者為通過；以作品、藝術成就證明代替專門著作送審者，應送請校外專家學者四人進行審查，三位審查人給予及格者為通過。</w:t>
      </w:r>
    </w:p>
    <w:p w:rsidR="00B34281" w:rsidRPr="000442C6" w:rsidRDefault="00B34281" w:rsidP="00543F46">
      <w:pPr>
        <w:spacing w:line="360" w:lineRule="exact"/>
        <w:ind w:leftChars="644" w:left="1417" w:firstLine="1"/>
        <w:rPr>
          <w:rFonts w:ascii="微軟正黑體" w:eastAsia="微軟正黑體" w:hAnsi="微軟正黑體"/>
          <w:color w:val="FF0000"/>
          <w:sz w:val="24"/>
          <w:szCs w:val="24"/>
        </w:rPr>
      </w:pPr>
      <w:r w:rsidRPr="0041566C">
        <w:rPr>
          <w:rFonts w:ascii="微軟正黑體" w:eastAsia="微軟正黑體" w:hAnsi="微軟正黑體" w:hint="eastAsia"/>
          <w:sz w:val="24"/>
          <w:szCs w:val="24"/>
        </w:rPr>
        <w:t>前項審查成績以七十分為及格，審查人由</w:t>
      </w:r>
      <w:r w:rsidRPr="000442C6">
        <w:rPr>
          <w:rFonts w:ascii="微軟正黑體" w:eastAsia="微軟正黑體" w:hAnsi="微軟正黑體" w:hint="eastAsia"/>
          <w:color w:val="FF0000"/>
          <w:sz w:val="24"/>
          <w:szCs w:val="24"/>
        </w:rPr>
        <w:t>院級主管自本校教師專業審議人才資料庫中推薦符合送審人專業領域之外審委員名單，徵詢院級教評會委員意見後決定之，且不得低階高審。</w:t>
      </w:r>
    </w:p>
    <w:p w:rsidR="0041566C" w:rsidRPr="0041566C" w:rsidRDefault="0041566C" w:rsidP="0041566C">
      <w:pPr>
        <w:spacing w:line="360" w:lineRule="exact"/>
        <w:ind w:leftChars="600" w:left="1320"/>
        <w:rPr>
          <w:rFonts w:ascii="微軟正黑體" w:eastAsia="微軟正黑體" w:hAnsi="微軟正黑體" w:hint="eastAsia"/>
          <w:sz w:val="24"/>
          <w:szCs w:val="24"/>
        </w:rPr>
      </w:pP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因具傑出學術聲望或特殊成就之教師延聘，得由校長逕請校教評會進行審議通過後聘任之。</w:t>
      </w:r>
    </w:p>
    <w:p w:rsidR="0041566C" w:rsidRPr="00B34281" w:rsidRDefault="0041566C" w:rsidP="0041566C">
      <w:pPr>
        <w:pStyle w:val="a4"/>
        <w:spacing w:line="360" w:lineRule="exact"/>
        <w:ind w:left="1418"/>
        <w:rPr>
          <w:rFonts w:ascii="微軟正黑體" w:eastAsia="微軟正黑體" w:hAnsi="微軟正黑體"/>
          <w:sz w:val="24"/>
          <w:szCs w:val="24"/>
        </w:rPr>
      </w:pP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新聘專任教師如未具有教育部審查合格之教師證書者，應於聘期開始三個月內，備齊資料申請教師資格審查，除有不可歸責於教師之事由外，屆期不送審者，提各級教評會審議改聘或解聘；送審不合格者，應即撤銷其聘任。</w:t>
      </w:r>
    </w:p>
    <w:p w:rsidR="0041566C" w:rsidRPr="0041566C" w:rsidRDefault="0041566C" w:rsidP="0041566C">
      <w:pPr>
        <w:spacing w:line="360" w:lineRule="exact"/>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本校專任教師之聘任年齡原則上不得逾六十五歲。但下列教師於本校符合大學評鑑辦法第九條，且其人數未超過全校專任教師總額之百分之三，年齡上限未逾七十五歲時，不在此限：</w:t>
      </w:r>
    </w:p>
    <w:p w:rsidR="00B34281" w:rsidRPr="00B34281" w:rsidRDefault="00B34281" w:rsidP="0041566C">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獲聘為講座教授、客座教授或客座副教授。</w:t>
      </w:r>
    </w:p>
    <w:p w:rsidR="00B34281" w:rsidRPr="00B34281" w:rsidRDefault="00B34281" w:rsidP="0041566C">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 xml:space="preserve">依規定辦理延長服務之教授。每次延長不得逾一年，至多延長至屆滿七十歲當學期為止。 </w:t>
      </w:r>
    </w:p>
    <w:p w:rsidR="00B34281" w:rsidRPr="00B34281" w:rsidRDefault="00B34281" w:rsidP="0041566C">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聘任逾六十五歲之助理教授級以上績優教師。</w:t>
      </w:r>
    </w:p>
    <w:p w:rsidR="00B34281" w:rsidRPr="0041566C" w:rsidRDefault="00B34281" w:rsidP="00543F46">
      <w:pPr>
        <w:spacing w:line="360" w:lineRule="exact"/>
        <w:ind w:leftChars="644" w:left="1417" w:firstLine="1"/>
        <w:rPr>
          <w:rFonts w:ascii="微軟正黑體" w:eastAsia="微軟正黑體" w:hAnsi="微軟正黑體"/>
          <w:sz w:val="24"/>
          <w:szCs w:val="24"/>
        </w:rPr>
      </w:pPr>
      <w:r w:rsidRPr="0041566C">
        <w:rPr>
          <w:rFonts w:ascii="微軟正黑體" w:eastAsia="微軟正黑體" w:hAnsi="微軟正黑體" w:hint="eastAsia"/>
          <w:sz w:val="24"/>
          <w:szCs w:val="24"/>
        </w:rPr>
        <w:t>前項第三款所定之績優教師，由教評會就其教學與研究等各項優異表現認定後聘任之。</w:t>
      </w:r>
    </w:p>
    <w:p w:rsidR="00B34281" w:rsidRPr="00B34281" w:rsidRDefault="00B34281" w:rsidP="00B34281">
      <w:pPr>
        <w:spacing w:line="360" w:lineRule="exact"/>
        <w:ind w:left="1418" w:hanging="1418"/>
        <w:rPr>
          <w:rFonts w:ascii="微軟正黑體" w:eastAsia="微軟正黑體" w:hAnsi="微軟正黑體"/>
          <w:sz w:val="24"/>
          <w:szCs w:val="24"/>
        </w:rPr>
      </w:pPr>
    </w:p>
    <w:p w:rsidR="00B34281" w:rsidRPr="000E0E22" w:rsidRDefault="00B34281" w:rsidP="0041566C">
      <w:pPr>
        <w:spacing w:line="360" w:lineRule="exact"/>
        <w:jc w:val="center"/>
        <w:rPr>
          <w:rFonts w:ascii="微軟正黑體" w:eastAsia="微軟正黑體" w:hAnsi="微軟正黑體"/>
          <w:b/>
          <w:sz w:val="28"/>
          <w:szCs w:val="28"/>
        </w:rPr>
      </w:pPr>
      <w:r w:rsidRPr="000E0E22">
        <w:rPr>
          <w:rFonts w:ascii="微軟正黑體" w:eastAsia="微軟正黑體" w:hAnsi="微軟正黑體"/>
          <w:b/>
          <w:sz w:val="28"/>
          <w:szCs w:val="28"/>
        </w:rPr>
        <w:t>第三章</w:t>
      </w:r>
      <w:r w:rsidRPr="000E0E22">
        <w:rPr>
          <w:rFonts w:ascii="微軟正黑體" w:eastAsia="微軟正黑體" w:hAnsi="微軟正黑體"/>
          <w:b/>
          <w:sz w:val="28"/>
          <w:szCs w:val="28"/>
        </w:rPr>
        <w:tab/>
        <w:t>教師資格審定</w:t>
      </w: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本校專任教師升等須符合教育人員任用條例，且近二年不得有教師評鑑有條件通過或不通過紀錄，另應具備下列各款條件：</w:t>
      </w:r>
    </w:p>
    <w:p w:rsidR="00B34281" w:rsidRPr="0041566C" w:rsidRDefault="00B34281" w:rsidP="0041566C">
      <w:pPr>
        <w:pStyle w:val="a4"/>
        <w:numPr>
          <w:ilvl w:val="0"/>
          <w:numId w:val="14"/>
        </w:numPr>
        <w:spacing w:line="360" w:lineRule="exact"/>
        <w:rPr>
          <w:rFonts w:ascii="微軟正黑體" w:eastAsia="微軟正黑體" w:hAnsi="微軟正黑體"/>
          <w:sz w:val="24"/>
          <w:szCs w:val="24"/>
        </w:rPr>
      </w:pPr>
      <w:r w:rsidRPr="0041566C">
        <w:rPr>
          <w:rFonts w:ascii="微軟正黑體" w:eastAsia="微軟正黑體" w:hAnsi="微軟正黑體"/>
          <w:sz w:val="24"/>
          <w:szCs w:val="24"/>
        </w:rPr>
        <w:t>申請升等者須在本校擔任專任教師滿二年以上。</w:t>
      </w:r>
    </w:p>
    <w:p w:rsidR="00B34281" w:rsidRPr="0041566C" w:rsidRDefault="00B34281" w:rsidP="0041566C">
      <w:pPr>
        <w:pStyle w:val="a4"/>
        <w:numPr>
          <w:ilvl w:val="0"/>
          <w:numId w:val="14"/>
        </w:numPr>
        <w:spacing w:line="360" w:lineRule="exact"/>
        <w:rPr>
          <w:rFonts w:ascii="微軟正黑體" w:eastAsia="微軟正黑體" w:hAnsi="微軟正黑體"/>
          <w:sz w:val="24"/>
          <w:szCs w:val="24"/>
        </w:rPr>
      </w:pPr>
      <w:r w:rsidRPr="0041566C">
        <w:rPr>
          <w:rFonts w:ascii="微軟正黑體" w:eastAsia="微軟正黑體" w:hAnsi="微軟正黑體"/>
          <w:sz w:val="24"/>
          <w:szCs w:val="24"/>
        </w:rPr>
        <w:t xml:space="preserve">申請升等助理教授須有任講師滿三年以上，申請升等副教授須有任助理教授滿三年以上，申請升等教授須有任副教授滿三年以上之年資。 </w:t>
      </w:r>
    </w:p>
    <w:p w:rsidR="00B34281" w:rsidRPr="0041566C" w:rsidRDefault="00B34281" w:rsidP="0041566C">
      <w:pPr>
        <w:pStyle w:val="a4"/>
        <w:numPr>
          <w:ilvl w:val="0"/>
          <w:numId w:val="14"/>
        </w:numPr>
        <w:spacing w:line="360" w:lineRule="exact"/>
        <w:rPr>
          <w:rFonts w:ascii="微軟正黑體" w:eastAsia="微軟正黑體" w:hAnsi="微軟正黑體"/>
          <w:sz w:val="24"/>
          <w:szCs w:val="24"/>
        </w:rPr>
      </w:pPr>
      <w:r w:rsidRPr="0041566C">
        <w:rPr>
          <w:rFonts w:ascii="微軟正黑體" w:eastAsia="微軟正黑體" w:hAnsi="微軟正黑體"/>
          <w:sz w:val="24"/>
          <w:szCs w:val="24"/>
        </w:rPr>
        <w:t xml:space="preserve">民國八十六年三月二十一日前已取得教育部核發講師證書之現職人員，繼續任教未中斷者，得以專門著作或取得博士學位之論文送審副教授資格。但審定程序，仍應依相關規定辦理。 </w:t>
      </w:r>
    </w:p>
    <w:p w:rsidR="00B34281" w:rsidRDefault="00B34281" w:rsidP="000442C6">
      <w:pPr>
        <w:spacing w:line="360" w:lineRule="exact"/>
        <w:ind w:left="1418"/>
        <w:rPr>
          <w:rFonts w:ascii="微軟正黑體" w:eastAsia="微軟正黑體" w:hAnsi="微軟正黑體"/>
          <w:sz w:val="24"/>
          <w:szCs w:val="24"/>
        </w:rPr>
      </w:pPr>
      <w:r w:rsidRPr="0041566C">
        <w:rPr>
          <w:rFonts w:ascii="微軟正黑體" w:eastAsia="微軟正黑體" w:hAnsi="微軟正黑體" w:hint="eastAsia"/>
          <w:sz w:val="24"/>
          <w:szCs w:val="24"/>
        </w:rPr>
        <w:t>教學、研究、輔導與服務綜合成績特優者，得不受前項第一款規定之限制。綜合成績特優之標準，由各教評會訂定後送校教評會決定。</w:t>
      </w:r>
    </w:p>
    <w:p w:rsidR="0041566C" w:rsidRPr="0041566C" w:rsidRDefault="0041566C" w:rsidP="0041566C">
      <w:pPr>
        <w:spacing w:line="360" w:lineRule="exact"/>
        <w:ind w:left="1418"/>
        <w:rPr>
          <w:rFonts w:ascii="微軟正黑體" w:eastAsia="微軟正黑體" w:hAnsi="微軟正黑體" w:hint="eastAsia"/>
          <w:sz w:val="24"/>
          <w:szCs w:val="24"/>
        </w:rPr>
      </w:pPr>
    </w:p>
    <w:p w:rsidR="00B34281" w:rsidRDefault="00B34281" w:rsidP="0041566C">
      <w:pPr>
        <w:spacing w:line="360" w:lineRule="exact"/>
        <w:ind w:left="1418"/>
        <w:rPr>
          <w:rFonts w:ascii="微軟正黑體" w:eastAsia="微軟正黑體" w:hAnsi="微軟正黑體"/>
          <w:sz w:val="24"/>
          <w:szCs w:val="24"/>
        </w:rPr>
      </w:pPr>
      <w:r w:rsidRPr="0041566C">
        <w:rPr>
          <w:rFonts w:ascii="微軟正黑體" w:eastAsia="微軟正黑體" w:hAnsi="微軟正黑體" w:hint="eastAsia"/>
          <w:sz w:val="24"/>
          <w:szCs w:val="24"/>
        </w:rPr>
        <w:t>專任教師申請升等前五年之日間學制學士班教學評量總平均為全校前百分之三十，無任一門課程之教學評量未達本校教師教學評量辦法第六條之標準，且未有責任鐘點數不足者，得以教學實務研究著作或教學實務成果技術報告為代表作提出升等。但有教學不力情事尚在調查中者，不得提出申請。</w:t>
      </w:r>
    </w:p>
    <w:p w:rsidR="0041566C" w:rsidRPr="0041566C" w:rsidRDefault="0041566C" w:rsidP="0041566C">
      <w:pPr>
        <w:spacing w:line="360" w:lineRule="exact"/>
        <w:ind w:left="1418"/>
        <w:rPr>
          <w:rFonts w:ascii="微軟正黑體" w:eastAsia="微軟正黑體" w:hAnsi="微軟正黑體" w:hint="eastAsia"/>
          <w:sz w:val="24"/>
          <w:szCs w:val="24"/>
        </w:rPr>
      </w:pPr>
    </w:p>
    <w:p w:rsidR="00B34281" w:rsidRDefault="00B34281" w:rsidP="0041566C">
      <w:pPr>
        <w:spacing w:line="360" w:lineRule="exact"/>
        <w:ind w:left="1418"/>
        <w:rPr>
          <w:rFonts w:ascii="微軟正黑體" w:eastAsia="微軟正黑體" w:hAnsi="微軟正黑體"/>
          <w:sz w:val="24"/>
          <w:szCs w:val="24"/>
        </w:rPr>
      </w:pPr>
      <w:r w:rsidRPr="0041566C">
        <w:rPr>
          <w:rFonts w:ascii="微軟正黑體" w:eastAsia="微軟正黑體" w:hAnsi="微軟正黑體" w:hint="eastAsia"/>
          <w:sz w:val="24"/>
          <w:szCs w:val="24"/>
        </w:rPr>
        <w:t>專任助理教授及副教授之產學合作成果與所授課程性質相符，並結合教學、輔導有具體成效者，得以應用科技技術報告為代表作提出升等。前述之認定原則另定之。</w:t>
      </w:r>
    </w:p>
    <w:p w:rsidR="0041566C" w:rsidRPr="0041566C" w:rsidRDefault="0041566C" w:rsidP="0041566C">
      <w:pPr>
        <w:spacing w:line="360" w:lineRule="exact"/>
        <w:ind w:left="1418"/>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專任教師升等審查項目分為教學、研究、輔導與服務，三項目之比例分別占總分之百分之二十五、五十及二十五。</w:t>
      </w:r>
    </w:p>
    <w:p w:rsidR="00B34281" w:rsidRPr="0041566C" w:rsidRDefault="00B34281" w:rsidP="0041566C">
      <w:pPr>
        <w:spacing w:line="360" w:lineRule="exact"/>
        <w:ind w:leftChars="644" w:left="1417" w:firstLine="1"/>
        <w:rPr>
          <w:rFonts w:ascii="微軟正黑體" w:eastAsia="微軟正黑體" w:hAnsi="微軟正黑體"/>
          <w:sz w:val="24"/>
          <w:szCs w:val="24"/>
        </w:rPr>
      </w:pPr>
      <w:r w:rsidRPr="0041566C">
        <w:rPr>
          <w:rFonts w:ascii="微軟正黑體" w:eastAsia="微軟正黑體" w:hAnsi="微軟正黑體" w:hint="eastAsia"/>
          <w:sz w:val="24"/>
          <w:szCs w:val="24"/>
        </w:rPr>
        <w:t>升等審查評分表、審查意見表之格式及內容由校教評會定之。</w:t>
      </w:r>
    </w:p>
    <w:p w:rsidR="00B34281" w:rsidRDefault="00B34281" w:rsidP="0041566C">
      <w:pPr>
        <w:spacing w:line="360" w:lineRule="exact"/>
        <w:ind w:leftChars="644" w:left="1417" w:firstLine="1"/>
        <w:rPr>
          <w:rFonts w:ascii="微軟正黑體" w:eastAsia="微軟正黑體" w:hAnsi="微軟正黑體"/>
          <w:sz w:val="24"/>
          <w:szCs w:val="24"/>
        </w:rPr>
      </w:pPr>
      <w:r w:rsidRPr="0041566C">
        <w:rPr>
          <w:rFonts w:ascii="微軟正黑體" w:eastAsia="微軟正黑體" w:hAnsi="微軟正黑體" w:hint="eastAsia"/>
          <w:sz w:val="24"/>
          <w:szCs w:val="24"/>
        </w:rPr>
        <w:t>升等審查項目之評分指標及其通過門檻，由各系（所）依其學門屬性及發展特色擬訂，送校教評會決定。</w:t>
      </w:r>
    </w:p>
    <w:p w:rsidR="0041566C" w:rsidRPr="0041566C" w:rsidRDefault="0041566C" w:rsidP="0041566C">
      <w:pPr>
        <w:spacing w:line="360" w:lineRule="exact"/>
        <w:ind w:leftChars="700" w:left="1540"/>
        <w:rPr>
          <w:rFonts w:ascii="微軟正黑體" w:eastAsia="微軟正黑體" w:hAnsi="微軟正黑體" w:hint="eastAsia"/>
          <w:sz w:val="24"/>
          <w:szCs w:val="24"/>
        </w:rPr>
      </w:pPr>
    </w:p>
    <w:p w:rsidR="00B34281" w:rsidRPr="0041566C" w:rsidRDefault="00B34281" w:rsidP="000E6806">
      <w:pPr>
        <w:pStyle w:val="a4"/>
        <w:numPr>
          <w:ilvl w:val="0"/>
          <w:numId w:val="13"/>
        </w:numPr>
        <w:spacing w:line="360" w:lineRule="exact"/>
        <w:ind w:left="1418" w:hanging="1418"/>
        <w:rPr>
          <w:rFonts w:ascii="微軟正黑體" w:eastAsia="微軟正黑體" w:hAnsi="微軟正黑體"/>
          <w:sz w:val="24"/>
          <w:szCs w:val="24"/>
        </w:rPr>
      </w:pPr>
      <w:r w:rsidRPr="0041566C">
        <w:rPr>
          <w:rFonts w:ascii="微軟正黑體" w:eastAsia="微軟正黑體" w:hAnsi="微軟正黑體"/>
          <w:sz w:val="24"/>
          <w:szCs w:val="24"/>
        </w:rPr>
        <w:t>送審教師資格之專門著作（含教學實務研究著作）、技術報告</w:t>
      </w:r>
      <w:r w:rsidRPr="0041566C">
        <w:rPr>
          <w:rFonts w:ascii="微軟正黑體" w:eastAsia="微軟正黑體" w:hAnsi="微軟正黑體" w:hint="eastAsia"/>
          <w:sz w:val="24"/>
          <w:szCs w:val="24"/>
        </w:rPr>
        <w:t>（含教學實務成果技術報告、應用科技技術報告）、作品及成就證明、體育成就證明應符合專科以上學校教師資格審定辦法（以下簡稱教師資格審定辦法）之相關規定及下列各款：</w:t>
      </w:r>
    </w:p>
    <w:p w:rsidR="0041566C" w:rsidRDefault="00B34281" w:rsidP="0041566C">
      <w:pPr>
        <w:pStyle w:val="a4"/>
        <w:numPr>
          <w:ilvl w:val="0"/>
          <w:numId w:val="16"/>
        </w:numPr>
        <w:spacing w:line="360" w:lineRule="exact"/>
        <w:rPr>
          <w:rFonts w:ascii="微軟正黑體" w:eastAsia="微軟正黑體" w:hAnsi="微軟正黑體"/>
          <w:sz w:val="24"/>
          <w:szCs w:val="24"/>
        </w:rPr>
      </w:pPr>
      <w:r w:rsidRPr="0041566C">
        <w:rPr>
          <w:rFonts w:ascii="微軟正黑體" w:eastAsia="微軟正黑體" w:hAnsi="微軟正黑體"/>
          <w:sz w:val="24"/>
          <w:szCs w:val="24"/>
        </w:rPr>
        <w:t xml:space="preserve">為取得現有職級教師資格後所公開出版或發表，具個人之原創性，且非僅以整理、增刪、組合或編排他人著作而成之編著，或其他非研究成果著作。 </w:t>
      </w:r>
    </w:p>
    <w:p w:rsidR="00B34281" w:rsidRDefault="00B34281" w:rsidP="0041566C">
      <w:pPr>
        <w:pStyle w:val="a4"/>
        <w:numPr>
          <w:ilvl w:val="0"/>
          <w:numId w:val="16"/>
        </w:numPr>
        <w:spacing w:line="360" w:lineRule="exact"/>
        <w:rPr>
          <w:rFonts w:ascii="微軟正黑體" w:eastAsia="微軟正黑體" w:hAnsi="微軟正黑體"/>
          <w:sz w:val="24"/>
          <w:szCs w:val="24"/>
        </w:rPr>
      </w:pPr>
      <w:r w:rsidRPr="0041566C">
        <w:rPr>
          <w:rFonts w:ascii="微軟正黑體" w:eastAsia="微軟正黑體" w:hAnsi="微軟正黑體"/>
          <w:sz w:val="24"/>
          <w:szCs w:val="24"/>
        </w:rPr>
        <w:t>由送審人擇定至多五件，並自行擇一為代表作，其屬系列之相關研究者，得合併為代表作，但不得為指導學生學位</w:t>
      </w:r>
      <w:r w:rsidRPr="0041566C">
        <w:rPr>
          <w:rFonts w:ascii="微軟正黑體" w:eastAsia="微軟正黑體" w:hAnsi="微軟正黑體" w:hint="eastAsia"/>
          <w:sz w:val="24"/>
          <w:szCs w:val="24"/>
        </w:rPr>
        <w:t>論文之改作或衍生著作；其餘列為參考作。前經教師資格審定不合格者，重新提出申請時，其送審著作應新增或更換至少一件以上，且代表作不得與前次相同。</w:t>
      </w:r>
    </w:p>
    <w:p w:rsidR="00B34281" w:rsidRDefault="00B34281" w:rsidP="0041566C">
      <w:pPr>
        <w:pStyle w:val="a4"/>
        <w:numPr>
          <w:ilvl w:val="0"/>
          <w:numId w:val="16"/>
        </w:numPr>
        <w:spacing w:line="360" w:lineRule="exact"/>
        <w:rPr>
          <w:rFonts w:ascii="微軟正黑體" w:eastAsia="微軟正黑體" w:hAnsi="微軟正黑體"/>
          <w:sz w:val="24"/>
          <w:szCs w:val="24"/>
        </w:rPr>
      </w:pPr>
      <w:r w:rsidRPr="0041566C">
        <w:rPr>
          <w:rFonts w:ascii="微軟正黑體" w:eastAsia="微軟正黑體" w:hAnsi="微軟正黑體" w:hint="eastAsia"/>
          <w:sz w:val="24"/>
          <w:szCs w:val="24"/>
        </w:rPr>
        <w:t>升等助理教授者，參考作不得少於二件；升等副教授者，不得少於三件；升等教授者，四件。</w:t>
      </w:r>
    </w:p>
    <w:p w:rsidR="0041566C" w:rsidRPr="0041566C" w:rsidRDefault="0041566C" w:rsidP="0041566C">
      <w:pPr>
        <w:pStyle w:val="a4"/>
        <w:spacing w:line="360" w:lineRule="exact"/>
        <w:ind w:left="1898"/>
        <w:rPr>
          <w:rFonts w:ascii="微軟正黑體" w:eastAsia="微軟正黑體" w:hAnsi="微軟正黑體"/>
          <w:sz w:val="24"/>
          <w:szCs w:val="24"/>
        </w:rPr>
      </w:pP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為健全外審制度，應建立教師專業審議人才資料庫，並定期更新。由各單位（得徵詢</w:t>
      </w:r>
      <w:r w:rsidR="000442C6">
        <w:rPr>
          <w:rFonts w:ascii="微軟正黑體" w:eastAsia="微軟正黑體" w:hAnsi="微軟正黑體" w:hint="eastAsia"/>
          <w:sz w:val="24"/>
          <w:szCs w:val="24"/>
        </w:rPr>
        <w:t>各</w:t>
      </w:r>
      <w:r w:rsidRPr="00B34281">
        <w:rPr>
          <w:rFonts w:ascii="微軟正黑體" w:eastAsia="微軟正黑體" w:hAnsi="微軟正黑體"/>
          <w:sz w:val="24"/>
          <w:szCs w:val="24"/>
        </w:rPr>
        <w:t>系意見）推薦或修正校外學者專家參考名單（含所屬學術領域、專長等相關資料）送校教評會備查。</w:t>
      </w:r>
    </w:p>
    <w:p w:rsidR="0041566C" w:rsidRPr="00B34281" w:rsidRDefault="0041566C" w:rsidP="0041566C">
      <w:pPr>
        <w:pStyle w:val="a4"/>
        <w:spacing w:line="360" w:lineRule="exact"/>
        <w:ind w:left="1418"/>
        <w:rPr>
          <w:rFonts w:ascii="微軟正黑體" w:eastAsia="微軟正黑體" w:hAnsi="微軟正黑體" w:hint="eastAsia"/>
          <w:sz w:val="24"/>
          <w:szCs w:val="24"/>
        </w:rPr>
      </w:pP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升等教師須依據本校「教師以著作（技術報告、作品及成就證明、體育成就證明及教學實務研究）送審教師資格檢覈表」檢附相關資料，且代表作及參考作須分開裝訂，代表作如係數人合著者，應以書面說明本人參與之部分，並檢附合著人證明。</w:t>
      </w:r>
    </w:p>
    <w:p w:rsidR="00B34281" w:rsidRDefault="00B34281" w:rsidP="0041566C">
      <w:pPr>
        <w:spacing w:line="360" w:lineRule="exact"/>
        <w:ind w:leftChars="644" w:left="1417" w:firstLine="1"/>
        <w:rPr>
          <w:rFonts w:ascii="微軟正黑體" w:eastAsia="微軟正黑體" w:hAnsi="微軟正黑體"/>
          <w:sz w:val="24"/>
          <w:szCs w:val="24"/>
        </w:rPr>
      </w:pPr>
      <w:r w:rsidRPr="0041566C">
        <w:rPr>
          <w:rFonts w:ascii="微軟正黑體" w:eastAsia="微軟正黑體" w:hAnsi="微軟正黑體" w:hint="eastAsia"/>
          <w:sz w:val="24"/>
          <w:szCs w:val="24"/>
        </w:rPr>
        <w:t>升等教師應於教師資格審查履歷表中詳實填載送審類別及著作所屬學術領域。</w:t>
      </w:r>
    </w:p>
    <w:p w:rsidR="00A37646" w:rsidRPr="0041566C" w:rsidRDefault="00A37646" w:rsidP="0041566C">
      <w:pPr>
        <w:spacing w:line="360" w:lineRule="exact"/>
        <w:ind w:leftChars="644" w:left="1417" w:firstLine="1"/>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專任教師符合第十條規定者，得備齊相關資料，送人事室辦理升等審查：</w:t>
      </w:r>
    </w:p>
    <w:p w:rsidR="00B34281" w:rsidRDefault="00B34281" w:rsidP="00A37646">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初審：</w:t>
      </w:r>
      <w:r w:rsidR="00097537" w:rsidRPr="00097537">
        <w:rPr>
          <w:rFonts w:ascii="微軟正黑體" w:eastAsia="微軟正黑體" w:hAnsi="微軟正黑體" w:hint="eastAsia"/>
          <w:color w:val="FF0000"/>
          <w:sz w:val="24"/>
          <w:szCs w:val="24"/>
        </w:rPr>
        <w:t>系</w:t>
      </w:r>
      <w:r w:rsidRPr="00097537">
        <w:rPr>
          <w:rFonts w:ascii="微軟正黑體" w:eastAsia="微軟正黑體" w:hAnsi="微軟正黑體"/>
          <w:color w:val="FF0000"/>
          <w:sz w:val="24"/>
          <w:szCs w:val="24"/>
        </w:rPr>
        <w:t>級</w:t>
      </w:r>
      <w:r w:rsidRPr="00B34281">
        <w:rPr>
          <w:rFonts w:ascii="微軟正黑體" w:eastAsia="微軟正黑體" w:hAnsi="微軟正黑體"/>
          <w:sz w:val="24"/>
          <w:szCs w:val="24"/>
        </w:rPr>
        <w:t>教評會應依據自訂之教師評審委員會作業要點與教師升等評分指標及通過門檻等相關規定，於每年十一月底或四月底前就升等教師之教學、研究、輔導與服務及有關資料完成初審，送校教評會決審。</w:t>
      </w:r>
    </w:p>
    <w:p w:rsidR="00B34281" w:rsidRPr="00A37646" w:rsidRDefault="00B34281" w:rsidP="00A37646">
      <w:pPr>
        <w:pStyle w:val="a4"/>
        <w:numPr>
          <w:ilvl w:val="3"/>
          <w:numId w:val="13"/>
        </w:numPr>
        <w:spacing w:line="360" w:lineRule="exact"/>
        <w:rPr>
          <w:rFonts w:ascii="微軟正黑體" w:eastAsia="微軟正黑體" w:hAnsi="微軟正黑體"/>
          <w:sz w:val="24"/>
          <w:szCs w:val="24"/>
        </w:rPr>
      </w:pPr>
      <w:r w:rsidRPr="00A37646">
        <w:rPr>
          <w:rFonts w:ascii="微軟正黑體" w:eastAsia="微軟正黑體" w:hAnsi="微軟正黑體"/>
          <w:sz w:val="24"/>
          <w:szCs w:val="24"/>
        </w:rPr>
        <w:t>決審：升等案經校教評會同意後送請外審委員審查，再將審查結果連同升等教師之教學、研究、輔導與服務及初審有關資料進行決審。外審委員之選</w:t>
      </w:r>
      <w:r w:rsidRPr="00A37646">
        <w:rPr>
          <w:rFonts w:ascii="微軟正黑體" w:eastAsia="微軟正黑體" w:hAnsi="微軟正黑體"/>
          <w:sz w:val="24"/>
          <w:szCs w:val="24"/>
        </w:rPr>
        <w:lastRenderedPageBreak/>
        <w:t>任，由校教評會（得徵詢系所）及</w:t>
      </w:r>
      <w:r w:rsidR="00097537" w:rsidRPr="00097537">
        <w:rPr>
          <w:rFonts w:ascii="微軟正黑體" w:eastAsia="微軟正黑體" w:hAnsi="微軟正黑體" w:hint="eastAsia"/>
          <w:color w:val="FF0000"/>
          <w:sz w:val="24"/>
          <w:szCs w:val="24"/>
        </w:rPr>
        <w:t>系</w:t>
      </w:r>
      <w:r w:rsidRPr="00097537">
        <w:rPr>
          <w:rFonts w:ascii="微軟正黑體" w:eastAsia="微軟正黑體" w:hAnsi="微軟正黑體"/>
          <w:color w:val="FF0000"/>
          <w:sz w:val="24"/>
          <w:szCs w:val="24"/>
        </w:rPr>
        <w:t>級</w:t>
      </w:r>
      <w:r w:rsidRPr="00A37646">
        <w:rPr>
          <w:rFonts w:ascii="微軟正黑體" w:eastAsia="微軟正黑體" w:hAnsi="微軟正黑體"/>
          <w:sz w:val="24"/>
          <w:szCs w:val="24"/>
        </w:rPr>
        <w:t>教評會各提供應推薦人數之二分之一，以密件逕送人事室，陳請校長核定徵詢順序。</w:t>
      </w:r>
      <w:r w:rsidRPr="001C3DCF">
        <w:rPr>
          <w:rFonts w:ascii="微軟正黑體" w:eastAsia="微軟正黑體" w:hAnsi="微軟正黑體"/>
          <w:color w:val="FF0000"/>
          <w:sz w:val="24"/>
          <w:szCs w:val="24"/>
        </w:rPr>
        <w:t>外審委員</w:t>
      </w:r>
      <w:r w:rsidRPr="00A37646">
        <w:rPr>
          <w:rFonts w:ascii="微軟正黑體" w:eastAsia="微軟正黑體" w:hAnsi="微軟正黑體"/>
          <w:sz w:val="24"/>
          <w:szCs w:val="24"/>
        </w:rPr>
        <w:t>選任方式如下：</w:t>
      </w:r>
    </w:p>
    <w:p w:rsidR="00B34281" w:rsidRDefault="00B34281" w:rsidP="00097537">
      <w:pPr>
        <w:pStyle w:val="a4"/>
        <w:numPr>
          <w:ilvl w:val="3"/>
          <w:numId w:val="17"/>
        </w:numPr>
        <w:spacing w:line="360" w:lineRule="exact"/>
        <w:ind w:left="3119" w:hanging="709"/>
        <w:rPr>
          <w:rFonts w:ascii="微軟正黑體" w:eastAsia="微軟正黑體" w:hAnsi="微軟正黑體"/>
          <w:sz w:val="24"/>
          <w:szCs w:val="24"/>
        </w:rPr>
      </w:pPr>
      <w:r w:rsidRPr="00A37646">
        <w:rPr>
          <w:rFonts w:ascii="微軟正黑體" w:eastAsia="微軟正黑體" w:hAnsi="微軟正黑體"/>
          <w:sz w:val="24"/>
          <w:szCs w:val="24"/>
        </w:rPr>
        <w:t>以專門著作（含教學實務研究著作）、技術報告</w:t>
      </w:r>
      <w:r w:rsidRPr="00A37646">
        <w:rPr>
          <w:rFonts w:ascii="微軟正黑體" w:eastAsia="微軟正黑體" w:hAnsi="微軟正黑體" w:hint="eastAsia"/>
          <w:sz w:val="24"/>
          <w:szCs w:val="24"/>
        </w:rPr>
        <w:t>（</w:t>
      </w:r>
      <w:r w:rsidRPr="00A37646">
        <w:rPr>
          <w:rFonts w:ascii="微軟正黑體" w:eastAsia="微軟正黑體" w:hAnsi="微軟正黑體"/>
          <w:sz w:val="24"/>
          <w:szCs w:val="24"/>
        </w:rPr>
        <w:t>含教學實務成果技術報告、應用科技技術報告）、體育成就證明送審者，應推薦至少</w:t>
      </w:r>
      <w:r w:rsidRPr="001C3DCF">
        <w:rPr>
          <w:rFonts w:ascii="微軟正黑體" w:eastAsia="微軟正黑體" w:hAnsi="微軟正黑體"/>
          <w:color w:val="FF0000"/>
          <w:sz w:val="24"/>
          <w:szCs w:val="24"/>
        </w:rPr>
        <w:t>十位建議人選</w:t>
      </w:r>
      <w:r w:rsidRPr="00A37646">
        <w:rPr>
          <w:rFonts w:ascii="微軟正黑體" w:eastAsia="微軟正黑體" w:hAnsi="微軟正黑體"/>
          <w:sz w:val="24"/>
          <w:szCs w:val="24"/>
        </w:rPr>
        <w:t>，經校長聘請其中五位委員審查。</w:t>
      </w:r>
    </w:p>
    <w:p w:rsidR="00B34281" w:rsidRPr="00097537" w:rsidRDefault="00B34281" w:rsidP="00097537">
      <w:pPr>
        <w:pStyle w:val="a4"/>
        <w:numPr>
          <w:ilvl w:val="3"/>
          <w:numId w:val="17"/>
        </w:numPr>
        <w:spacing w:line="360" w:lineRule="exact"/>
        <w:ind w:left="3119" w:hanging="709"/>
        <w:rPr>
          <w:rFonts w:ascii="微軟正黑體" w:eastAsia="微軟正黑體" w:hAnsi="微軟正黑體"/>
          <w:sz w:val="24"/>
          <w:szCs w:val="24"/>
        </w:rPr>
      </w:pPr>
      <w:r w:rsidRPr="00097537">
        <w:rPr>
          <w:rFonts w:ascii="微軟正黑體" w:eastAsia="微軟正黑體" w:hAnsi="微軟正黑體"/>
          <w:sz w:val="24"/>
          <w:szCs w:val="24"/>
        </w:rPr>
        <w:t>以作品及成就證明送審者，應推薦至少</w:t>
      </w:r>
      <w:r w:rsidRPr="001C3DCF">
        <w:rPr>
          <w:rFonts w:ascii="微軟正黑體" w:eastAsia="微軟正黑體" w:hAnsi="微軟正黑體"/>
          <w:color w:val="FF0000"/>
          <w:sz w:val="24"/>
          <w:szCs w:val="24"/>
        </w:rPr>
        <w:t>十四位</w:t>
      </w:r>
      <w:r w:rsidRPr="00097537">
        <w:rPr>
          <w:rFonts w:ascii="微軟正黑體" w:eastAsia="微軟正黑體" w:hAnsi="微軟正黑體"/>
          <w:sz w:val="24"/>
          <w:szCs w:val="24"/>
        </w:rPr>
        <w:t>建議人選，經校長聘請其中七位委員審查。</w:t>
      </w:r>
    </w:p>
    <w:p w:rsidR="00B34281" w:rsidRPr="00A37646" w:rsidRDefault="00B34281" w:rsidP="00A37646">
      <w:pPr>
        <w:spacing w:line="360" w:lineRule="exact"/>
        <w:ind w:leftChars="644" w:left="1417" w:firstLine="1"/>
        <w:rPr>
          <w:rFonts w:ascii="微軟正黑體" w:eastAsia="微軟正黑體" w:hAnsi="微軟正黑體"/>
          <w:sz w:val="24"/>
          <w:szCs w:val="24"/>
        </w:rPr>
      </w:pPr>
      <w:r w:rsidRPr="00A37646">
        <w:rPr>
          <w:rFonts w:ascii="微軟正黑體" w:eastAsia="微軟正黑體" w:hAnsi="微軟正黑體" w:hint="eastAsia"/>
          <w:sz w:val="24"/>
          <w:szCs w:val="24"/>
        </w:rPr>
        <w:t>升等教師不得推薦外審委員建議名單，但可提供迴避名單，人數至多三人，敘明迴避理由送校教評會審議。</w:t>
      </w:r>
    </w:p>
    <w:p w:rsidR="00B34281" w:rsidRPr="00B34281" w:rsidRDefault="00B34281" w:rsidP="00B34281">
      <w:pPr>
        <w:spacing w:line="360" w:lineRule="exact"/>
        <w:ind w:left="1418" w:hanging="1418"/>
        <w:rPr>
          <w:rFonts w:ascii="微軟正黑體" w:eastAsia="微軟正黑體" w:hAnsi="微軟正黑體"/>
          <w:sz w:val="24"/>
          <w:szCs w:val="24"/>
        </w:rPr>
      </w:pPr>
    </w:p>
    <w:p w:rsidR="00B34281" w:rsidRPr="00B34281" w:rsidRDefault="00B34281" w:rsidP="001C3DCF">
      <w:pPr>
        <w:spacing w:line="360" w:lineRule="exact"/>
        <w:ind w:leftChars="644" w:left="1417" w:firstLine="1"/>
        <w:rPr>
          <w:rFonts w:ascii="微軟正黑體" w:eastAsia="微軟正黑體" w:hAnsi="微軟正黑體"/>
          <w:sz w:val="24"/>
          <w:szCs w:val="24"/>
        </w:rPr>
      </w:pPr>
      <w:r w:rsidRPr="00B34281">
        <w:rPr>
          <w:rFonts w:ascii="微軟正黑體" w:eastAsia="微軟正黑體" w:hAnsi="微軟正黑體"/>
          <w:sz w:val="24"/>
          <w:szCs w:val="24"/>
        </w:rPr>
        <w:t>教評會應遵循專業、公正及保密原則，自本校教師專業審議人</w:t>
      </w:r>
      <w:r w:rsidRPr="00B34281">
        <w:rPr>
          <w:rFonts w:ascii="微軟正黑體" w:eastAsia="微軟正黑體" w:hAnsi="微軟正黑體" w:hint="eastAsia"/>
          <w:sz w:val="24"/>
          <w:szCs w:val="24"/>
        </w:rPr>
        <w:t>才庫選任具送審著作專業領域審查人之名單辦理外審。且有下列情形之一者，應予迴避：</w:t>
      </w:r>
    </w:p>
    <w:p w:rsidR="00B34281" w:rsidRPr="00B34281" w:rsidRDefault="00B34281" w:rsidP="00A37646">
      <w:pPr>
        <w:pStyle w:val="a4"/>
        <w:numPr>
          <w:ilvl w:val="3"/>
          <w:numId w:val="18"/>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升等教師之研究指導教授。</w:t>
      </w:r>
    </w:p>
    <w:p w:rsidR="00B34281" w:rsidRPr="00B34281" w:rsidRDefault="00B34281" w:rsidP="00A37646">
      <w:pPr>
        <w:pStyle w:val="a4"/>
        <w:numPr>
          <w:ilvl w:val="3"/>
          <w:numId w:val="18"/>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升等教師著作之合著人或共同研究人。</w:t>
      </w:r>
    </w:p>
    <w:p w:rsidR="00B34281" w:rsidRDefault="00B34281" w:rsidP="00A37646">
      <w:pPr>
        <w:pStyle w:val="a4"/>
        <w:numPr>
          <w:ilvl w:val="3"/>
          <w:numId w:val="18"/>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為升等教師之配偶或三親等內之血親及姻親或曾有此關係者。</w:t>
      </w:r>
    </w:p>
    <w:p w:rsidR="00A37646" w:rsidRPr="00B34281" w:rsidRDefault="00A37646" w:rsidP="00A37646">
      <w:pPr>
        <w:pStyle w:val="a4"/>
        <w:spacing w:line="360" w:lineRule="exact"/>
        <w:ind w:left="1920"/>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教學、研究、輔導與服務各項評分以一百分為滿分，任一項目未達及格標準者，不得升等。</w:t>
      </w:r>
    </w:p>
    <w:p w:rsidR="00B34281" w:rsidRPr="00A37646" w:rsidRDefault="00B34281" w:rsidP="00A37646">
      <w:pPr>
        <w:spacing w:line="360" w:lineRule="exact"/>
        <w:ind w:leftChars="644" w:left="1417" w:firstLine="1"/>
        <w:rPr>
          <w:rFonts w:ascii="微軟正黑體" w:eastAsia="微軟正黑體" w:hAnsi="微軟正黑體"/>
          <w:sz w:val="24"/>
          <w:szCs w:val="24"/>
        </w:rPr>
      </w:pPr>
      <w:r w:rsidRPr="00A37646">
        <w:rPr>
          <w:rFonts w:ascii="微軟正黑體" w:eastAsia="微軟正黑體" w:hAnsi="微軟正黑體" w:hint="eastAsia"/>
          <w:sz w:val="24"/>
          <w:szCs w:val="24"/>
        </w:rPr>
        <w:t>研究成績之評定方式如下：</w:t>
      </w:r>
    </w:p>
    <w:p w:rsidR="00B34281" w:rsidRPr="00A37646" w:rsidRDefault="00B34281" w:rsidP="00A37646">
      <w:pPr>
        <w:pStyle w:val="a4"/>
        <w:numPr>
          <w:ilvl w:val="0"/>
          <w:numId w:val="19"/>
        </w:numPr>
        <w:spacing w:line="360" w:lineRule="exact"/>
        <w:rPr>
          <w:rFonts w:ascii="微軟正黑體" w:eastAsia="微軟正黑體" w:hAnsi="微軟正黑體"/>
          <w:sz w:val="24"/>
          <w:szCs w:val="24"/>
        </w:rPr>
      </w:pPr>
      <w:r w:rsidRPr="00A37646">
        <w:rPr>
          <w:rFonts w:ascii="微軟正黑體" w:eastAsia="微軟正黑體" w:hAnsi="微軟正黑體"/>
          <w:sz w:val="24"/>
          <w:szCs w:val="24"/>
        </w:rPr>
        <w:t xml:space="preserve">外審成績及格分數，依升等送審職級分為教授八十分、副教授七十五分、助理教授七十分。 </w:t>
      </w:r>
    </w:p>
    <w:p w:rsidR="00B34281" w:rsidRPr="00A37646" w:rsidRDefault="00B34281" w:rsidP="00A37646">
      <w:pPr>
        <w:pStyle w:val="a4"/>
        <w:numPr>
          <w:ilvl w:val="0"/>
          <w:numId w:val="19"/>
        </w:numPr>
        <w:spacing w:line="360" w:lineRule="exact"/>
        <w:rPr>
          <w:rFonts w:ascii="微軟正黑體" w:eastAsia="微軟正黑體" w:hAnsi="微軟正黑體"/>
          <w:sz w:val="24"/>
          <w:szCs w:val="24"/>
        </w:rPr>
      </w:pPr>
      <w:r w:rsidRPr="00A37646">
        <w:rPr>
          <w:rFonts w:ascii="微軟正黑體" w:eastAsia="微軟正黑體" w:hAnsi="微軟正黑體"/>
          <w:sz w:val="24"/>
          <w:szCs w:val="24"/>
        </w:rPr>
        <w:t xml:space="preserve">以專門著作（含教學實務研究著作）、技術報告（含教學實務成果技術報告、應用科技技術報告）、體育成就證明送審者，須有四位以上外審委員給予及格，並以及格之外審成績平均值列計得分；未達四位以上外審委員給予及格者，以不及格論。 </w:t>
      </w:r>
    </w:p>
    <w:p w:rsidR="00B34281" w:rsidRDefault="00B34281" w:rsidP="00A37646">
      <w:pPr>
        <w:pStyle w:val="a4"/>
        <w:numPr>
          <w:ilvl w:val="0"/>
          <w:numId w:val="19"/>
        </w:numPr>
        <w:spacing w:line="360" w:lineRule="exact"/>
        <w:rPr>
          <w:rFonts w:ascii="微軟正黑體" w:eastAsia="微軟正黑體" w:hAnsi="微軟正黑體"/>
          <w:sz w:val="24"/>
          <w:szCs w:val="24"/>
        </w:rPr>
      </w:pPr>
      <w:r w:rsidRPr="00A37646">
        <w:rPr>
          <w:rFonts w:ascii="微軟正黑體" w:eastAsia="微軟正黑體" w:hAnsi="微軟正黑體"/>
          <w:sz w:val="24"/>
          <w:szCs w:val="24"/>
        </w:rPr>
        <w:t xml:space="preserve">以作品及成就證明送審者，須有六位以上外審委員給予及格，並以及格之外審成績平均值列計得分；未達六位以上外審委員給予及格者，以不及格論。 </w:t>
      </w:r>
    </w:p>
    <w:p w:rsidR="00A37646" w:rsidRPr="00A37646" w:rsidRDefault="00A37646" w:rsidP="00A37646">
      <w:pPr>
        <w:pStyle w:val="a4"/>
        <w:spacing w:line="360" w:lineRule="exact"/>
        <w:ind w:left="1898"/>
        <w:rPr>
          <w:rFonts w:ascii="微軟正黑體" w:eastAsia="微軟正黑體" w:hAnsi="微軟正黑體"/>
          <w:sz w:val="24"/>
          <w:szCs w:val="24"/>
        </w:rPr>
      </w:pPr>
    </w:p>
    <w:p w:rsidR="00B34281" w:rsidRDefault="00B34281" w:rsidP="00543F46">
      <w:pPr>
        <w:spacing w:line="360" w:lineRule="exact"/>
        <w:ind w:leftChars="644" w:left="1417" w:firstLine="1"/>
        <w:rPr>
          <w:rFonts w:ascii="微軟正黑體" w:eastAsia="微軟正黑體" w:hAnsi="微軟正黑體"/>
          <w:sz w:val="24"/>
          <w:szCs w:val="24"/>
        </w:rPr>
      </w:pPr>
      <w:r w:rsidRPr="00A37646">
        <w:rPr>
          <w:rFonts w:ascii="微軟正黑體" w:eastAsia="微軟正黑體" w:hAnsi="微軟正黑體" w:hint="eastAsia"/>
          <w:sz w:val="24"/>
          <w:szCs w:val="24"/>
        </w:rPr>
        <w:t>教學、輔導與服務二項成績，皆以七十分為及格。依申請送審前三年之表現評分，但於本校服務滿二年以上未滿三年者，得以於本校服務期間之表現送審。</w:t>
      </w:r>
    </w:p>
    <w:p w:rsidR="00A37646" w:rsidRPr="00A37646" w:rsidRDefault="00A37646" w:rsidP="00A37646">
      <w:pPr>
        <w:spacing w:line="360" w:lineRule="exact"/>
        <w:ind w:leftChars="600" w:left="1320"/>
        <w:rPr>
          <w:rFonts w:ascii="微軟正黑體" w:eastAsia="微軟正黑體" w:hAnsi="微軟正黑體" w:hint="eastAsia"/>
          <w:sz w:val="24"/>
          <w:szCs w:val="24"/>
        </w:rPr>
      </w:pP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校教評會之決定過程，應詳載於會議紀錄中，並妥善保存。校教評會之決定應以書面告知送審人；決定結果為不合格者，得依據本校教師申訴評議委員會組織及評議要點之規定，於收到書面通知之次日起三十日內，向本校教師申訴評議委員會提出申訴。</w:t>
      </w:r>
    </w:p>
    <w:p w:rsidR="00A37646" w:rsidRPr="00B34281" w:rsidRDefault="00A37646" w:rsidP="00A37646">
      <w:pPr>
        <w:pStyle w:val="a4"/>
        <w:spacing w:line="360" w:lineRule="exact"/>
        <w:ind w:left="1418"/>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新聘教師持有與應聘資格相同之教育部頒教師證書者，專門著作得不辦理外審事宜。</w:t>
      </w:r>
    </w:p>
    <w:p w:rsidR="00B34281" w:rsidRDefault="00B34281" w:rsidP="00A37646">
      <w:pPr>
        <w:spacing w:line="360" w:lineRule="exact"/>
        <w:ind w:leftChars="644" w:left="1417" w:firstLine="1"/>
        <w:rPr>
          <w:rFonts w:ascii="微軟正黑體" w:eastAsia="微軟正黑體" w:hAnsi="微軟正黑體"/>
          <w:sz w:val="24"/>
          <w:szCs w:val="24"/>
        </w:rPr>
      </w:pPr>
      <w:r w:rsidRPr="00A37646">
        <w:rPr>
          <w:rFonts w:ascii="微軟正黑體" w:eastAsia="微軟正黑體" w:hAnsi="微軟正黑體" w:hint="eastAsia"/>
          <w:sz w:val="24"/>
          <w:szCs w:val="24"/>
        </w:rPr>
        <w:t>教評會於教師資格審查程序中，發現外審意見有疑義者，應依教師資格審定辦法第三十九條規定處理。</w:t>
      </w:r>
    </w:p>
    <w:p w:rsidR="00A37646" w:rsidRPr="00A37646" w:rsidRDefault="00A37646" w:rsidP="00A37646">
      <w:pPr>
        <w:spacing w:line="360" w:lineRule="exact"/>
        <w:ind w:leftChars="644" w:left="1417" w:firstLine="1"/>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教評會審查合格之升等案，依規定冊報教育部核發教師證書，俟收到教師證書後，再補發新職聘書。</w:t>
      </w:r>
    </w:p>
    <w:p w:rsidR="00B34281" w:rsidRDefault="00B34281" w:rsidP="00A37646">
      <w:pPr>
        <w:spacing w:line="360" w:lineRule="exact"/>
        <w:ind w:leftChars="644" w:left="1417" w:firstLine="1"/>
        <w:rPr>
          <w:rFonts w:ascii="微軟正黑體" w:eastAsia="微軟正黑體" w:hAnsi="微軟正黑體"/>
          <w:sz w:val="24"/>
          <w:szCs w:val="24"/>
        </w:rPr>
      </w:pPr>
      <w:r w:rsidRPr="00A37646">
        <w:rPr>
          <w:rFonts w:ascii="微軟正黑體" w:eastAsia="微軟正黑體" w:hAnsi="微軟正黑體" w:hint="eastAsia"/>
          <w:sz w:val="24"/>
          <w:szCs w:val="24"/>
        </w:rPr>
        <w:t>送審人經審查合格之專門著作、學位論文、作品、技術報告學位論文或成就證明，應送本校圖書館公開、保管。但作品、成就證</w:t>
      </w:r>
      <w:r w:rsidRPr="00A37646">
        <w:rPr>
          <w:rFonts w:ascii="微軟正黑體" w:eastAsia="微軟正黑體" w:hAnsi="微軟正黑體"/>
          <w:sz w:val="24"/>
          <w:szCs w:val="24"/>
        </w:rPr>
        <w:t>明或技術報告，涉及機密、申請專利或依法不得公開，經校教評</w:t>
      </w:r>
      <w:r w:rsidRPr="00A37646">
        <w:rPr>
          <w:rFonts w:ascii="微軟正黑體" w:eastAsia="微軟正黑體" w:hAnsi="微軟正黑體" w:hint="eastAsia"/>
          <w:sz w:val="24"/>
          <w:szCs w:val="24"/>
        </w:rPr>
        <w:t>會認定者，得不予公開出版或於一定期間內不予公開出版。</w:t>
      </w:r>
    </w:p>
    <w:p w:rsidR="00A37646" w:rsidRPr="00A37646" w:rsidRDefault="00A37646" w:rsidP="00A37646">
      <w:pPr>
        <w:spacing w:line="360" w:lineRule="exact"/>
        <w:ind w:leftChars="644" w:left="1417" w:firstLine="1"/>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自八十八學年度起兼任教師僅辦理學位送審，不辦理著作升等事宜。</w:t>
      </w:r>
    </w:p>
    <w:p w:rsidR="00B34281" w:rsidRDefault="00B34281" w:rsidP="00A37646">
      <w:pPr>
        <w:spacing w:line="360" w:lineRule="exact"/>
        <w:ind w:leftChars="644" w:left="1417" w:firstLine="1"/>
        <w:rPr>
          <w:rFonts w:ascii="微軟正黑體" w:eastAsia="微軟正黑體" w:hAnsi="微軟正黑體"/>
          <w:sz w:val="24"/>
          <w:szCs w:val="24"/>
        </w:rPr>
      </w:pPr>
      <w:r w:rsidRPr="00A37646">
        <w:rPr>
          <w:rFonts w:ascii="微軟正黑體" w:eastAsia="微軟正黑體" w:hAnsi="微軟正黑體" w:hint="eastAsia"/>
          <w:sz w:val="24"/>
          <w:szCs w:val="24"/>
        </w:rPr>
        <w:t>兼任教師在本校任教滿二學期，每學期授課至少二小時，第三學期起仍繼續授課且任教期間教學成效良好者，得以學位送審教師資格。</w:t>
      </w:r>
    </w:p>
    <w:p w:rsidR="00A37646" w:rsidRPr="00A37646" w:rsidRDefault="00A37646" w:rsidP="00A37646">
      <w:pPr>
        <w:spacing w:line="360" w:lineRule="exact"/>
        <w:ind w:leftChars="644" w:left="1417" w:firstLine="1"/>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為處理違反送審教師資格規定之情事，應由校教評會另訂違反學術倫理案件處理辦法。</w:t>
      </w:r>
    </w:p>
    <w:p w:rsidR="00B34281" w:rsidRDefault="00B34281" w:rsidP="00A37646">
      <w:pPr>
        <w:spacing w:line="360" w:lineRule="exact"/>
        <w:ind w:leftChars="644" w:left="1417" w:firstLine="1"/>
        <w:rPr>
          <w:rFonts w:ascii="微軟正黑體" w:eastAsia="微軟正黑體" w:hAnsi="微軟正黑體"/>
          <w:sz w:val="24"/>
          <w:szCs w:val="24"/>
        </w:rPr>
      </w:pPr>
      <w:r w:rsidRPr="00B34281">
        <w:rPr>
          <w:rFonts w:ascii="微軟正黑體" w:eastAsia="微軟正黑體" w:hAnsi="微軟正黑體" w:hint="eastAsia"/>
          <w:sz w:val="24"/>
          <w:szCs w:val="24"/>
        </w:rPr>
        <w:t>受理教師資格審查案件期間，經檢舉（含外審委員審查意見）或發現送審人涉及違反學術倫理時，應停止審理教師資格審查案之審理，並通報人事室。於依據違反學術倫理案件處理辦法形成調查結果後，方得繼續教師資格審查案之審理。</w:t>
      </w:r>
    </w:p>
    <w:p w:rsidR="00A37646" w:rsidRPr="00B34281" w:rsidRDefault="00A37646" w:rsidP="00A37646">
      <w:pPr>
        <w:spacing w:line="360" w:lineRule="exact"/>
        <w:ind w:leftChars="644" w:left="1417" w:firstLine="1"/>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專任教師經核准帶職帶薪或留職停薪，其返校義務授課每學期至少二小時者，得申請教師資格審定；核准借調他校滿三年以上者，得經校教評會同意，由借調學校為之。</w:t>
      </w:r>
    </w:p>
    <w:p w:rsidR="00B34281" w:rsidRDefault="00B34281" w:rsidP="00A37646">
      <w:pPr>
        <w:spacing w:line="360" w:lineRule="exact"/>
        <w:ind w:leftChars="644" w:left="1417" w:firstLine="1"/>
        <w:rPr>
          <w:rFonts w:ascii="微軟正黑體" w:eastAsia="微軟正黑體" w:hAnsi="微軟正黑體"/>
          <w:sz w:val="24"/>
          <w:szCs w:val="24"/>
        </w:rPr>
      </w:pPr>
      <w:r w:rsidRPr="00B34281">
        <w:rPr>
          <w:rFonts w:ascii="微軟正黑體" w:eastAsia="微軟正黑體" w:hAnsi="微軟正黑體" w:hint="eastAsia"/>
          <w:sz w:val="24"/>
          <w:szCs w:val="24"/>
        </w:rPr>
        <w:t>有教師資格審定辦法第二條第三項各款情形之一者，不得送審。</w:t>
      </w:r>
    </w:p>
    <w:p w:rsidR="00A37646" w:rsidRPr="00B34281" w:rsidRDefault="00A37646" w:rsidP="00A37646">
      <w:pPr>
        <w:spacing w:line="360" w:lineRule="exact"/>
        <w:ind w:leftChars="644" w:left="1417" w:firstLine="1"/>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bookmarkStart w:id="0" w:name="_GoBack"/>
      <w:bookmarkEnd w:id="0"/>
      <w:r w:rsidRPr="00B34281">
        <w:rPr>
          <w:rFonts w:ascii="微軟正黑體" w:eastAsia="微軟正黑體" w:hAnsi="微軟正黑體"/>
          <w:sz w:val="24"/>
          <w:szCs w:val="24"/>
        </w:rPr>
        <w:t>本校教師資格審查過程、審查人及審查意見等相關資料，應予保密，以維持審查之公正性。但有下列情形之一者，不在此限：</w:t>
      </w:r>
    </w:p>
    <w:p w:rsidR="00B34281" w:rsidRPr="00B34281" w:rsidRDefault="00B34281" w:rsidP="00A37646">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將審查過程及審查意見，提供教師申訴受理機關及其他救濟機關。</w:t>
      </w:r>
    </w:p>
    <w:p w:rsidR="00B34281" w:rsidRDefault="00B34281" w:rsidP="00A37646">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將評定為不及格之審查意見，提供予送審人。</w:t>
      </w:r>
    </w:p>
    <w:p w:rsidR="00A37646" w:rsidRPr="00B34281" w:rsidRDefault="00A37646" w:rsidP="00A37646">
      <w:pPr>
        <w:pStyle w:val="a4"/>
        <w:spacing w:line="360" w:lineRule="exact"/>
        <w:ind w:left="1920"/>
        <w:rPr>
          <w:rFonts w:ascii="微軟正黑體" w:eastAsia="微軟正黑體" w:hAnsi="微軟正黑體" w:hint="eastAsia"/>
          <w:sz w:val="24"/>
          <w:szCs w:val="24"/>
        </w:rPr>
      </w:pPr>
    </w:p>
    <w:p w:rsidR="00B34281" w:rsidRPr="000E0E22" w:rsidRDefault="00B34281" w:rsidP="00A37646">
      <w:pPr>
        <w:spacing w:line="360" w:lineRule="exact"/>
        <w:jc w:val="center"/>
        <w:rPr>
          <w:rFonts w:ascii="微軟正黑體" w:eastAsia="微軟正黑體" w:hAnsi="微軟正黑體"/>
          <w:b/>
          <w:sz w:val="28"/>
          <w:szCs w:val="28"/>
        </w:rPr>
      </w:pPr>
      <w:r w:rsidRPr="000E0E22">
        <w:rPr>
          <w:rFonts w:ascii="微軟正黑體" w:eastAsia="微軟正黑體" w:hAnsi="微軟正黑體"/>
          <w:b/>
          <w:sz w:val="28"/>
          <w:szCs w:val="28"/>
        </w:rPr>
        <w:t>第四章</w:t>
      </w:r>
      <w:r w:rsidRPr="000E0E22">
        <w:rPr>
          <w:rFonts w:ascii="微軟正黑體" w:eastAsia="微軟正黑體" w:hAnsi="微軟正黑體"/>
          <w:b/>
          <w:sz w:val="28"/>
          <w:szCs w:val="28"/>
        </w:rPr>
        <w:tab/>
        <w:t>改聘、停聘、不續聘、解聘</w:t>
      </w: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本校專、兼任教師改聘規定如下：</w:t>
      </w:r>
    </w:p>
    <w:p w:rsidR="00B34281" w:rsidRPr="00B34281" w:rsidRDefault="00B34281" w:rsidP="00A37646">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專、兼任教師在國內外大學取得博士學位，符合學位送審教師資格者，得經由各級教評會審查程序申請改聘。</w:t>
      </w:r>
    </w:p>
    <w:p w:rsidR="00B34281" w:rsidRDefault="00B34281" w:rsidP="00A37646">
      <w:pPr>
        <w:pStyle w:val="a4"/>
        <w:numPr>
          <w:ilvl w:val="3"/>
          <w:numId w:val="13"/>
        </w:numPr>
        <w:spacing w:line="360" w:lineRule="exact"/>
        <w:rPr>
          <w:rFonts w:ascii="微軟正黑體" w:eastAsia="微軟正黑體" w:hAnsi="微軟正黑體"/>
          <w:sz w:val="24"/>
          <w:szCs w:val="24"/>
        </w:rPr>
      </w:pPr>
      <w:r w:rsidRPr="00B34281">
        <w:rPr>
          <w:rFonts w:ascii="微軟正黑體" w:eastAsia="微軟正黑體" w:hAnsi="微軟正黑體"/>
          <w:sz w:val="24"/>
          <w:szCs w:val="24"/>
        </w:rPr>
        <w:t>兼任教師之改聘，每學期辦理一次，當年八月以前取得學位或證書者，自當年八月一日起改聘，當年九月以後至次年二月以前取得學位或證書，自次年二月一日起改聘。</w:t>
      </w:r>
    </w:p>
    <w:p w:rsidR="00A37646" w:rsidRPr="00B34281" w:rsidRDefault="00A37646" w:rsidP="00A37646">
      <w:pPr>
        <w:pStyle w:val="a4"/>
        <w:spacing w:line="360" w:lineRule="exact"/>
        <w:ind w:left="1920"/>
        <w:rPr>
          <w:rFonts w:ascii="微軟正黑體" w:eastAsia="微軟正黑體" w:hAnsi="微軟正黑體" w:hint="eastAsia"/>
          <w:sz w:val="24"/>
          <w:szCs w:val="24"/>
        </w:rPr>
      </w:pP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本校對聘約屆滿之專任教師不予續聘時，應於聘期屆滿一個月前書面通知當事人；教師擬於聘約期滿後，不再應聘時，應於聘約屆滿一個月前書面通知學校。</w:t>
      </w:r>
    </w:p>
    <w:p w:rsidR="00A37646" w:rsidRPr="00B34281" w:rsidRDefault="00A37646" w:rsidP="00A37646">
      <w:pPr>
        <w:pStyle w:val="a4"/>
        <w:spacing w:line="360" w:lineRule="exact"/>
        <w:ind w:left="1418"/>
        <w:rPr>
          <w:rFonts w:ascii="微軟正黑體" w:eastAsia="微軟正黑體" w:hAnsi="微軟正黑體"/>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辦理專任教師之解聘、停聘或不續聘案時，應依教師法、教師法施行細則等相關</w:t>
      </w:r>
      <w:r w:rsidRPr="00B34281">
        <w:rPr>
          <w:rFonts w:ascii="微軟正黑體" w:eastAsia="微軟正黑體" w:hAnsi="微軟正黑體"/>
          <w:sz w:val="24"/>
          <w:szCs w:val="24"/>
        </w:rPr>
        <w:lastRenderedPageBreak/>
        <w:t>法令規章辦理。</w:t>
      </w:r>
    </w:p>
    <w:p w:rsidR="00B34281" w:rsidRDefault="00B34281" w:rsidP="00A37646">
      <w:pPr>
        <w:spacing w:line="360" w:lineRule="exact"/>
        <w:ind w:leftChars="644" w:left="1417" w:firstLine="1"/>
        <w:rPr>
          <w:rFonts w:ascii="微軟正黑體" w:eastAsia="微軟正黑體" w:hAnsi="微軟正黑體"/>
          <w:sz w:val="24"/>
          <w:szCs w:val="24"/>
        </w:rPr>
      </w:pPr>
      <w:r w:rsidRPr="00B34281">
        <w:rPr>
          <w:rFonts w:ascii="微軟正黑體" w:eastAsia="微軟正黑體" w:hAnsi="微軟正黑體"/>
          <w:sz w:val="24"/>
          <w:szCs w:val="24"/>
        </w:rPr>
        <w:t>辦理兼任教師之終止或停止聘約案時，應依專科以上學校兼任教</w:t>
      </w:r>
      <w:r w:rsidRPr="00B34281">
        <w:rPr>
          <w:rFonts w:ascii="微軟正黑體" w:eastAsia="微軟正黑體" w:hAnsi="微軟正黑體" w:hint="eastAsia"/>
          <w:sz w:val="24"/>
          <w:szCs w:val="24"/>
        </w:rPr>
        <w:t>師聘任辦法等相關法令規章辦理。</w:t>
      </w:r>
    </w:p>
    <w:p w:rsidR="000E0E22" w:rsidRPr="00B34281" w:rsidRDefault="000E0E22" w:rsidP="00A37646">
      <w:pPr>
        <w:spacing w:line="360" w:lineRule="exact"/>
        <w:ind w:leftChars="644" w:left="1417" w:firstLine="1"/>
        <w:rPr>
          <w:rFonts w:ascii="微軟正黑體" w:eastAsia="微軟正黑體" w:hAnsi="微軟正黑體" w:hint="eastAsia"/>
          <w:sz w:val="24"/>
          <w:szCs w:val="24"/>
        </w:rPr>
      </w:pPr>
    </w:p>
    <w:p w:rsidR="00B34281" w:rsidRPr="000E0E22" w:rsidRDefault="00B34281" w:rsidP="000E0E22">
      <w:pPr>
        <w:spacing w:line="360" w:lineRule="exact"/>
        <w:jc w:val="center"/>
        <w:rPr>
          <w:rFonts w:ascii="微軟正黑體" w:eastAsia="微軟正黑體" w:hAnsi="微軟正黑體"/>
          <w:b/>
          <w:sz w:val="28"/>
          <w:szCs w:val="28"/>
        </w:rPr>
      </w:pPr>
      <w:r w:rsidRPr="000E0E22">
        <w:rPr>
          <w:rFonts w:ascii="微軟正黑體" w:eastAsia="微軟正黑體" w:hAnsi="微軟正黑體"/>
          <w:b/>
          <w:sz w:val="28"/>
          <w:szCs w:val="28"/>
        </w:rPr>
        <w:t>第五章</w:t>
      </w:r>
      <w:r w:rsidRPr="000E0E22">
        <w:rPr>
          <w:rFonts w:ascii="微軟正黑體" w:eastAsia="微軟正黑體" w:hAnsi="微軟正黑體"/>
          <w:b/>
          <w:sz w:val="28"/>
          <w:szCs w:val="28"/>
        </w:rPr>
        <w:tab/>
        <w:t>附則</w:t>
      </w:r>
    </w:p>
    <w:p w:rsid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本校專任專業技術人員之聘任及升等準用本辦法相關規定，並另依其適用法規辦理。</w:t>
      </w:r>
    </w:p>
    <w:p w:rsidR="000E0E22" w:rsidRPr="00B34281" w:rsidRDefault="000E0E22" w:rsidP="000E0E22">
      <w:pPr>
        <w:pStyle w:val="a4"/>
        <w:spacing w:line="360" w:lineRule="exact"/>
        <w:ind w:left="1418"/>
        <w:rPr>
          <w:rFonts w:ascii="微軟正黑體" w:eastAsia="微軟正黑體" w:hAnsi="微軟正黑體" w:hint="eastAsia"/>
          <w:sz w:val="24"/>
          <w:szCs w:val="24"/>
        </w:rPr>
      </w:pPr>
    </w:p>
    <w:p w:rsidR="00B34281" w:rsidRPr="00B34281" w:rsidRDefault="00B34281" w:rsidP="00B34281">
      <w:pPr>
        <w:pStyle w:val="a4"/>
        <w:numPr>
          <w:ilvl w:val="0"/>
          <w:numId w:val="13"/>
        </w:numPr>
        <w:spacing w:line="360" w:lineRule="exact"/>
        <w:ind w:left="1418" w:hanging="1418"/>
        <w:rPr>
          <w:rFonts w:ascii="微軟正黑體" w:eastAsia="微軟正黑體" w:hAnsi="微軟正黑體"/>
          <w:sz w:val="24"/>
          <w:szCs w:val="24"/>
        </w:rPr>
      </w:pPr>
      <w:r w:rsidRPr="00B34281">
        <w:rPr>
          <w:rFonts w:ascii="微軟正黑體" w:eastAsia="微軟正黑體" w:hAnsi="微軟正黑體"/>
          <w:sz w:val="24"/>
          <w:szCs w:val="24"/>
        </w:rPr>
        <w:t>本辦法經校務會議通過，陳請校長核定後發布施行，修正時亦同。</w:t>
      </w:r>
    </w:p>
    <w:p w:rsidR="00B34281" w:rsidRPr="00B34281" w:rsidRDefault="00B34281" w:rsidP="00B34281">
      <w:pPr>
        <w:spacing w:line="360" w:lineRule="exact"/>
        <w:ind w:left="1418" w:hanging="1418"/>
        <w:rPr>
          <w:rFonts w:ascii="微軟正黑體" w:eastAsia="微軟正黑體" w:hAnsi="微軟正黑體" w:hint="eastAsia"/>
          <w:sz w:val="24"/>
          <w:szCs w:val="24"/>
        </w:rPr>
      </w:pPr>
    </w:p>
    <w:sectPr w:rsidR="00B34281" w:rsidRPr="00B34281">
      <w:footerReference w:type="default" r:id="rId7"/>
      <w:type w:val="continuous"/>
      <w:pgSz w:w="11920" w:h="16850"/>
      <w:pgMar w:top="1220" w:right="992" w:bottom="980" w:left="992"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CED" w:rsidRDefault="00120CED">
      <w:r>
        <w:separator/>
      </w:r>
    </w:p>
  </w:endnote>
  <w:endnote w:type="continuationSeparator" w:id="0">
    <w:p w:rsidR="00120CED" w:rsidRDefault="0012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3A" w:rsidRDefault="00120CED">
    <w:pPr>
      <w:pStyle w:val="a3"/>
      <w:spacing w:line="14" w:lineRule="auto"/>
    </w:pPr>
    <w:r>
      <w:rPr>
        <w:noProof/>
      </w:rPr>
      <mc:AlternateContent>
        <mc:Choice Requires="wps">
          <w:drawing>
            <wp:anchor distT="0" distB="0" distL="0" distR="0" simplePos="0" relativeHeight="487373312" behindDoc="1" locked="0" layoutInCell="1" allowOverlap="1">
              <wp:simplePos x="0" y="0"/>
              <wp:positionH relativeFrom="page">
                <wp:posOffset>3717671</wp:posOffset>
              </wp:positionH>
              <wp:positionV relativeFrom="page">
                <wp:posOffset>10046515</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rsidR="00F65C3A" w:rsidRDefault="00120CED">
                          <w:pPr>
                            <w:pStyle w:val="a3"/>
                            <w:spacing w:line="236" w:lineRule="exact"/>
                            <w:ind w:left="60"/>
                          </w:pPr>
                          <w:r>
                            <w:rPr>
                              <w:spacing w:val="-10"/>
                            </w:rPr>
                            <w:fldChar w:fldCharType="begin"/>
                          </w:r>
                          <w:r>
                            <w:rPr>
                              <w:spacing w:val="-10"/>
                            </w:rPr>
                            <w:instrText xml:space="preserve"> PAGE </w:instrText>
                          </w:r>
                          <w:r>
                            <w:rPr>
                              <w:spacing w:val="-10"/>
                            </w:rPr>
                            <w:fldChar w:fldCharType="separate"/>
                          </w:r>
                          <w:r w:rsidR="002D5DC3">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75pt;margin-top:791.05pt;width:12pt;height:12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3EnwEAAD4DAAAOAAAAZHJzL2Uyb0RvYy54bWysUsFu2zAMvQ/oPwi6N3aCbhiMOEXXYsOA&#10;YhvQ7gNkWYqNWaJGKrHz96NkJy2229CLTJlPj++R3N5ObhBHg9SDr+V6VUphvIa29/ta/nz+fP1R&#10;CorKt2oAb2p5MiRvd1fvtmOozAY6GFqDgkk8VWOoZRdjqIqCdGecohUE4zlpAZ2KfMV90aIamd0N&#10;xaYsPxQjYBsQtCHivw9zUu4yv7VGx+/WkoliqCVri/nEfDbpLHZbVe1Rha7Xiwz1Hyqc6j0XvVA9&#10;qKjEAft/qFyvEQhsXGlwBVjba5M9sJt1+Zebp04Fk71wcyhc2kRvR6u/HX+g6FuenRReOR7Rs5li&#10;A5NYp+aMgSrGPAVGxekTTAmYjFJ4BP2LGFK8wswPiNEJM1l06cs2BT/k/p8uPeciQie295ubkjOa&#10;U0ucOF8eB6T4xYATKagl8kizAHV8pDhDz5BFy1w+qYpTMy0mGmhP7GHkUdeSfh8UGimGr557mfbi&#10;HOA5aM4BxuEe8vYkKx7uDhFsnyunEjPvUpmHlLUvC5W24PU9o17WfvcHAAD//wMAUEsDBBQABgAI&#10;AAAAIQAbC7Dr4QAAAA0BAAAPAAAAZHJzL2Rvd25yZXYueG1sTI/BTsMwEETvSPyDtUjcqJ1IDiHE&#10;qVBRxQFxaAGJoxubOCK2I9tN3b9nOdHjzjzNzrTrbCey6BBH7wQUKwZEu96r0Q0CPt63dzWQmKRT&#10;cvJOCzjrCOvu+qqVjfInt9PLPg0EQ1xspACT0txQGnujrYwrP2uH3rcPViY8w0BVkCcMtxMtGauo&#10;laPDD0bOemN0/7M/WgGfm3n7mr+MfFu4enku73fn0Gchbm/y0yOQpHP6h+GvPlaHDjsd/NGpSCYB&#10;vOYcUTR4XRZAEKnYA0oHlCpWFUC7ll6u6H4BAAD//wMAUEsBAi0AFAAGAAgAAAAhALaDOJL+AAAA&#10;4QEAABMAAAAAAAAAAAAAAAAAAAAAAFtDb250ZW50X1R5cGVzXS54bWxQSwECLQAUAAYACAAAACEA&#10;OP0h/9YAAACUAQAACwAAAAAAAAAAAAAAAAAvAQAAX3JlbHMvLnJlbHNQSwECLQAUAAYACAAAACEA&#10;S319xJ8BAAA+AwAADgAAAAAAAAAAAAAAAAAuAgAAZHJzL2Uyb0RvYy54bWxQSwECLQAUAAYACAAA&#10;ACEAGwuw6+EAAAANAQAADwAAAAAAAAAAAAAAAAD5AwAAZHJzL2Rvd25yZXYueG1sUEsFBgAAAAAE&#10;AAQA8wAAAAcFAAAAAA==&#10;" filled="f" stroked="f">
              <v:path arrowok="t"/>
              <v:textbox inset="0,0,0,0">
                <w:txbxContent>
                  <w:p w:rsidR="00F65C3A" w:rsidRDefault="00120CED">
                    <w:pPr>
                      <w:pStyle w:val="a3"/>
                      <w:spacing w:line="236" w:lineRule="exact"/>
                      <w:ind w:left="60"/>
                    </w:pPr>
                    <w:r>
                      <w:rPr>
                        <w:spacing w:val="-10"/>
                      </w:rPr>
                      <w:fldChar w:fldCharType="begin"/>
                    </w:r>
                    <w:r>
                      <w:rPr>
                        <w:spacing w:val="-10"/>
                      </w:rPr>
                      <w:instrText xml:space="preserve"> PAGE </w:instrText>
                    </w:r>
                    <w:r>
                      <w:rPr>
                        <w:spacing w:val="-10"/>
                      </w:rPr>
                      <w:fldChar w:fldCharType="separate"/>
                    </w:r>
                    <w:r w:rsidR="002D5DC3">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CED" w:rsidRDefault="00120CED">
      <w:r>
        <w:separator/>
      </w:r>
    </w:p>
  </w:footnote>
  <w:footnote w:type="continuationSeparator" w:id="0">
    <w:p w:rsidR="00120CED" w:rsidRDefault="00120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13FF"/>
    <w:multiLevelType w:val="hybridMultilevel"/>
    <w:tmpl w:val="9FDE9176"/>
    <w:lvl w:ilvl="0" w:tplc="E4F05442">
      <w:start w:val="2"/>
      <w:numFmt w:val="chineseCountingThousand"/>
      <w:lvlText w:val="%1、"/>
      <w:lvlJc w:val="left"/>
      <w:pPr>
        <w:ind w:left="670" w:hanging="563"/>
      </w:pPr>
      <w:rPr>
        <w:rFonts w:ascii="SimSun" w:eastAsia="SimSun" w:hAnsi="SimSun" w:cs="SimSun" w:hint="default"/>
        <w:b w:val="0"/>
        <w:bCs w:val="0"/>
        <w:i w:val="0"/>
        <w:iCs w:val="0"/>
        <w:spacing w:val="0"/>
        <w:w w:val="100"/>
        <w:sz w:val="26"/>
        <w:szCs w:val="26"/>
        <w:lang w:val="en-US" w:eastAsia="zh-TW" w:bidi="ar-SA"/>
      </w:rPr>
    </w:lvl>
    <w:lvl w:ilvl="1" w:tplc="F84C2F6A">
      <w:numFmt w:val="bullet"/>
      <w:lvlText w:val="•"/>
      <w:lvlJc w:val="left"/>
      <w:pPr>
        <w:ind w:left="1414" w:hanging="563"/>
      </w:pPr>
      <w:rPr>
        <w:rFonts w:hint="default"/>
        <w:lang w:val="en-US" w:eastAsia="zh-TW" w:bidi="ar-SA"/>
      </w:rPr>
    </w:lvl>
    <w:lvl w:ilvl="2" w:tplc="77A4659A">
      <w:numFmt w:val="bullet"/>
      <w:lvlText w:val="•"/>
      <w:lvlJc w:val="left"/>
      <w:pPr>
        <w:ind w:left="2149" w:hanging="563"/>
      </w:pPr>
      <w:rPr>
        <w:rFonts w:hint="default"/>
        <w:lang w:val="en-US" w:eastAsia="zh-TW" w:bidi="ar-SA"/>
      </w:rPr>
    </w:lvl>
    <w:lvl w:ilvl="3" w:tplc="24F0957C">
      <w:numFmt w:val="bullet"/>
      <w:lvlText w:val="•"/>
      <w:lvlJc w:val="left"/>
      <w:pPr>
        <w:ind w:left="2884" w:hanging="563"/>
      </w:pPr>
      <w:rPr>
        <w:rFonts w:hint="default"/>
        <w:lang w:val="en-US" w:eastAsia="zh-TW" w:bidi="ar-SA"/>
      </w:rPr>
    </w:lvl>
    <w:lvl w:ilvl="4" w:tplc="46D23AD0">
      <w:numFmt w:val="bullet"/>
      <w:lvlText w:val="•"/>
      <w:lvlJc w:val="left"/>
      <w:pPr>
        <w:ind w:left="3619" w:hanging="563"/>
      </w:pPr>
      <w:rPr>
        <w:rFonts w:hint="default"/>
        <w:lang w:val="en-US" w:eastAsia="zh-TW" w:bidi="ar-SA"/>
      </w:rPr>
    </w:lvl>
    <w:lvl w:ilvl="5" w:tplc="C26E9A8A">
      <w:numFmt w:val="bullet"/>
      <w:lvlText w:val="•"/>
      <w:lvlJc w:val="left"/>
      <w:pPr>
        <w:ind w:left="4354" w:hanging="563"/>
      </w:pPr>
      <w:rPr>
        <w:rFonts w:hint="default"/>
        <w:lang w:val="en-US" w:eastAsia="zh-TW" w:bidi="ar-SA"/>
      </w:rPr>
    </w:lvl>
    <w:lvl w:ilvl="6" w:tplc="411634E8">
      <w:numFmt w:val="bullet"/>
      <w:lvlText w:val="•"/>
      <w:lvlJc w:val="left"/>
      <w:pPr>
        <w:ind w:left="5088" w:hanging="563"/>
      </w:pPr>
      <w:rPr>
        <w:rFonts w:hint="default"/>
        <w:lang w:val="en-US" w:eastAsia="zh-TW" w:bidi="ar-SA"/>
      </w:rPr>
    </w:lvl>
    <w:lvl w:ilvl="7" w:tplc="393AD30A">
      <w:numFmt w:val="bullet"/>
      <w:lvlText w:val="•"/>
      <w:lvlJc w:val="left"/>
      <w:pPr>
        <w:ind w:left="5823" w:hanging="563"/>
      </w:pPr>
      <w:rPr>
        <w:rFonts w:hint="default"/>
        <w:lang w:val="en-US" w:eastAsia="zh-TW" w:bidi="ar-SA"/>
      </w:rPr>
    </w:lvl>
    <w:lvl w:ilvl="8" w:tplc="E35C002C">
      <w:numFmt w:val="bullet"/>
      <w:lvlText w:val="•"/>
      <w:lvlJc w:val="left"/>
      <w:pPr>
        <w:ind w:left="6558" w:hanging="563"/>
      </w:pPr>
      <w:rPr>
        <w:rFonts w:hint="default"/>
        <w:lang w:val="en-US" w:eastAsia="zh-TW" w:bidi="ar-SA"/>
      </w:rPr>
    </w:lvl>
  </w:abstractNum>
  <w:abstractNum w:abstractNumId="1" w15:restartNumberingAfterBreak="0">
    <w:nsid w:val="10762D43"/>
    <w:multiLevelType w:val="hybridMultilevel"/>
    <w:tmpl w:val="4D0E72A0"/>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142B5759"/>
    <w:multiLevelType w:val="hybridMultilevel"/>
    <w:tmpl w:val="92E4D586"/>
    <w:lvl w:ilvl="0" w:tplc="11E61AC2">
      <w:start w:val="1"/>
      <w:numFmt w:val="chineseCountingThousand"/>
      <w:lvlText w:val="%1、"/>
      <w:lvlJc w:val="left"/>
      <w:pPr>
        <w:ind w:left="668" w:hanging="563"/>
      </w:pPr>
      <w:rPr>
        <w:rFonts w:ascii="SimSun" w:eastAsia="SimSun" w:hAnsi="SimSun" w:cs="SimSun" w:hint="default"/>
        <w:b w:val="0"/>
        <w:bCs w:val="0"/>
        <w:i w:val="0"/>
        <w:iCs w:val="0"/>
        <w:spacing w:val="0"/>
        <w:w w:val="100"/>
        <w:sz w:val="26"/>
        <w:szCs w:val="26"/>
        <w:lang w:val="en-US" w:eastAsia="zh-TW" w:bidi="ar-SA"/>
      </w:rPr>
    </w:lvl>
    <w:lvl w:ilvl="1" w:tplc="D2709826">
      <w:numFmt w:val="bullet"/>
      <w:lvlText w:val="•"/>
      <w:lvlJc w:val="left"/>
      <w:pPr>
        <w:ind w:left="1397" w:hanging="563"/>
      </w:pPr>
      <w:rPr>
        <w:rFonts w:hint="default"/>
        <w:lang w:val="en-US" w:eastAsia="zh-TW" w:bidi="ar-SA"/>
      </w:rPr>
    </w:lvl>
    <w:lvl w:ilvl="2" w:tplc="6D9C65D0">
      <w:numFmt w:val="bullet"/>
      <w:lvlText w:val="•"/>
      <w:lvlJc w:val="left"/>
      <w:pPr>
        <w:ind w:left="2135" w:hanging="563"/>
      </w:pPr>
      <w:rPr>
        <w:rFonts w:hint="default"/>
        <w:lang w:val="en-US" w:eastAsia="zh-TW" w:bidi="ar-SA"/>
      </w:rPr>
    </w:lvl>
    <w:lvl w:ilvl="3" w:tplc="4DF2B1E4">
      <w:numFmt w:val="bullet"/>
      <w:lvlText w:val="•"/>
      <w:lvlJc w:val="left"/>
      <w:pPr>
        <w:ind w:left="2873" w:hanging="563"/>
      </w:pPr>
      <w:rPr>
        <w:rFonts w:hint="default"/>
        <w:lang w:val="en-US" w:eastAsia="zh-TW" w:bidi="ar-SA"/>
      </w:rPr>
    </w:lvl>
    <w:lvl w:ilvl="4" w:tplc="0B9831AC">
      <w:numFmt w:val="bullet"/>
      <w:lvlText w:val="•"/>
      <w:lvlJc w:val="left"/>
      <w:pPr>
        <w:ind w:left="3610" w:hanging="563"/>
      </w:pPr>
      <w:rPr>
        <w:rFonts w:hint="default"/>
        <w:lang w:val="en-US" w:eastAsia="zh-TW" w:bidi="ar-SA"/>
      </w:rPr>
    </w:lvl>
    <w:lvl w:ilvl="5" w:tplc="1C6CC54C">
      <w:numFmt w:val="bullet"/>
      <w:lvlText w:val="•"/>
      <w:lvlJc w:val="left"/>
      <w:pPr>
        <w:ind w:left="4348" w:hanging="563"/>
      </w:pPr>
      <w:rPr>
        <w:rFonts w:hint="default"/>
        <w:lang w:val="en-US" w:eastAsia="zh-TW" w:bidi="ar-SA"/>
      </w:rPr>
    </w:lvl>
    <w:lvl w:ilvl="6" w:tplc="7E608FC2">
      <w:numFmt w:val="bullet"/>
      <w:lvlText w:val="•"/>
      <w:lvlJc w:val="left"/>
      <w:pPr>
        <w:ind w:left="5086" w:hanging="563"/>
      </w:pPr>
      <w:rPr>
        <w:rFonts w:hint="default"/>
        <w:lang w:val="en-US" w:eastAsia="zh-TW" w:bidi="ar-SA"/>
      </w:rPr>
    </w:lvl>
    <w:lvl w:ilvl="7" w:tplc="84F65BA4">
      <w:numFmt w:val="bullet"/>
      <w:lvlText w:val="•"/>
      <w:lvlJc w:val="left"/>
      <w:pPr>
        <w:ind w:left="5823" w:hanging="563"/>
      </w:pPr>
      <w:rPr>
        <w:rFonts w:hint="default"/>
        <w:lang w:val="en-US" w:eastAsia="zh-TW" w:bidi="ar-SA"/>
      </w:rPr>
    </w:lvl>
    <w:lvl w:ilvl="8" w:tplc="3DF8AC8A">
      <w:numFmt w:val="bullet"/>
      <w:lvlText w:val="•"/>
      <w:lvlJc w:val="left"/>
      <w:pPr>
        <w:ind w:left="6561" w:hanging="563"/>
      </w:pPr>
      <w:rPr>
        <w:rFonts w:hint="default"/>
        <w:lang w:val="en-US" w:eastAsia="zh-TW" w:bidi="ar-SA"/>
      </w:rPr>
    </w:lvl>
  </w:abstractNum>
  <w:abstractNum w:abstractNumId="3" w15:restartNumberingAfterBreak="0">
    <w:nsid w:val="17997F85"/>
    <w:multiLevelType w:val="hybridMultilevel"/>
    <w:tmpl w:val="D310BE12"/>
    <w:lvl w:ilvl="0" w:tplc="3822D5F8">
      <w:start w:val="1"/>
      <w:numFmt w:val="chineseCountingThousand"/>
      <w:lvlText w:val="%1、"/>
      <w:lvlJc w:val="left"/>
      <w:pPr>
        <w:ind w:left="669" w:hanging="563"/>
      </w:pPr>
      <w:rPr>
        <w:rFonts w:ascii="SimSun" w:eastAsia="SimSun" w:hAnsi="SimSun" w:cs="SimSun" w:hint="default"/>
        <w:b w:val="0"/>
        <w:bCs w:val="0"/>
        <w:i w:val="0"/>
        <w:iCs w:val="0"/>
        <w:spacing w:val="0"/>
        <w:w w:val="100"/>
        <w:sz w:val="26"/>
        <w:szCs w:val="26"/>
        <w:lang w:val="en-US" w:eastAsia="zh-TW" w:bidi="ar-SA"/>
      </w:rPr>
    </w:lvl>
    <w:lvl w:ilvl="1" w:tplc="0C74142E">
      <w:numFmt w:val="bullet"/>
      <w:lvlText w:val="•"/>
      <w:lvlJc w:val="left"/>
      <w:pPr>
        <w:ind w:left="1396" w:hanging="563"/>
      </w:pPr>
      <w:rPr>
        <w:rFonts w:hint="default"/>
        <w:lang w:val="en-US" w:eastAsia="zh-TW" w:bidi="ar-SA"/>
      </w:rPr>
    </w:lvl>
    <w:lvl w:ilvl="2" w:tplc="AC108B74">
      <w:numFmt w:val="bullet"/>
      <w:lvlText w:val="•"/>
      <w:lvlJc w:val="left"/>
      <w:pPr>
        <w:ind w:left="2133" w:hanging="563"/>
      </w:pPr>
      <w:rPr>
        <w:rFonts w:hint="default"/>
        <w:lang w:val="en-US" w:eastAsia="zh-TW" w:bidi="ar-SA"/>
      </w:rPr>
    </w:lvl>
    <w:lvl w:ilvl="3" w:tplc="8A14CD1A">
      <w:numFmt w:val="bullet"/>
      <w:lvlText w:val="•"/>
      <w:lvlJc w:val="left"/>
      <w:pPr>
        <w:ind w:left="2870" w:hanging="563"/>
      </w:pPr>
      <w:rPr>
        <w:rFonts w:hint="default"/>
        <w:lang w:val="en-US" w:eastAsia="zh-TW" w:bidi="ar-SA"/>
      </w:rPr>
    </w:lvl>
    <w:lvl w:ilvl="4" w:tplc="0292EEEE">
      <w:numFmt w:val="bullet"/>
      <w:lvlText w:val="•"/>
      <w:lvlJc w:val="left"/>
      <w:pPr>
        <w:ind w:left="3607" w:hanging="563"/>
      </w:pPr>
      <w:rPr>
        <w:rFonts w:hint="default"/>
        <w:lang w:val="en-US" w:eastAsia="zh-TW" w:bidi="ar-SA"/>
      </w:rPr>
    </w:lvl>
    <w:lvl w:ilvl="5" w:tplc="C018C9CA">
      <w:numFmt w:val="bullet"/>
      <w:lvlText w:val="•"/>
      <w:lvlJc w:val="left"/>
      <w:pPr>
        <w:ind w:left="4344" w:hanging="563"/>
      </w:pPr>
      <w:rPr>
        <w:rFonts w:hint="default"/>
        <w:lang w:val="en-US" w:eastAsia="zh-TW" w:bidi="ar-SA"/>
      </w:rPr>
    </w:lvl>
    <w:lvl w:ilvl="6" w:tplc="CA409A0A">
      <w:numFmt w:val="bullet"/>
      <w:lvlText w:val="•"/>
      <w:lvlJc w:val="left"/>
      <w:pPr>
        <w:ind w:left="5080" w:hanging="563"/>
      </w:pPr>
      <w:rPr>
        <w:rFonts w:hint="default"/>
        <w:lang w:val="en-US" w:eastAsia="zh-TW" w:bidi="ar-SA"/>
      </w:rPr>
    </w:lvl>
    <w:lvl w:ilvl="7" w:tplc="06DEBE48">
      <w:numFmt w:val="bullet"/>
      <w:lvlText w:val="•"/>
      <w:lvlJc w:val="left"/>
      <w:pPr>
        <w:ind w:left="5817" w:hanging="563"/>
      </w:pPr>
      <w:rPr>
        <w:rFonts w:hint="default"/>
        <w:lang w:val="en-US" w:eastAsia="zh-TW" w:bidi="ar-SA"/>
      </w:rPr>
    </w:lvl>
    <w:lvl w:ilvl="8" w:tplc="6AA25FBE">
      <w:numFmt w:val="bullet"/>
      <w:lvlText w:val="•"/>
      <w:lvlJc w:val="left"/>
      <w:pPr>
        <w:ind w:left="6554" w:hanging="563"/>
      </w:pPr>
      <w:rPr>
        <w:rFonts w:hint="default"/>
        <w:lang w:val="en-US" w:eastAsia="zh-TW" w:bidi="ar-SA"/>
      </w:rPr>
    </w:lvl>
  </w:abstractNum>
  <w:abstractNum w:abstractNumId="4" w15:restartNumberingAfterBreak="0">
    <w:nsid w:val="1D3A6CDC"/>
    <w:multiLevelType w:val="hybridMultilevel"/>
    <w:tmpl w:val="E522D6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3E7904"/>
    <w:multiLevelType w:val="hybridMultilevel"/>
    <w:tmpl w:val="B95A5C8C"/>
    <w:lvl w:ilvl="0" w:tplc="DC148E38">
      <w:start w:val="1"/>
      <w:numFmt w:val="chineseCountingThousand"/>
      <w:lvlText w:val="%1、"/>
      <w:lvlJc w:val="left"/>
      <w:pPr>
        <w:ind w:left="728" w:hanging="581"/>
      </w:pPr>
      <w:rPr>
        <w:rFonts w:ascii="SimSun" w:eastAsia="SimSun" w:hAnsi="SimSun" w:cs="SimSun" w:hint="default"/>
        <w:b w:val="0"/>
        <w:bCs w:val="0"/>
        <w:i w:val="0"/>
        <w:iCs w:val="0"/>
        <w:spacing w:val="9"/>
        <w:w w:val="100"/>
        <w:sz w:val="26"/>
        <w:szCs w:val="26"/>
        <w:lang w:val="en-US" w:eastAsia="zh-TW" w:bidi="ar-SA"/>
      </w:rPr>
    </w:lvl>
    <w:lvl w:ilvl="1" w:tplc="7B167578">
      <w:numFmt w:val="bullet"/>
      <w:lvlText w:val="•"/>
      <w:lvlJc w:val="left"/>
      <w:pPr>
        <w:ind w:left="1451" w:hanging="581"/>
      </w:pPr>
      <w:rPr>
        <w:rFonts w:hint="default"/>
        <w:lang w:val="en-US" w:eastAsia="zh-TW" w:bidi="ar-SA"/>
      </w:rPr>
    </w:lvl>
    <w:lvl w:ilvl="2" w:tplc="E5BE275A">
      <w:numFmt w:val="bullet"/>
      <w:lvlText w:val="•"/>
      <w:lvlJc w:val="left"/>
      <w:pPr>
        <w:ind w:left="2182" w:hanging="581"/>
      </w:pPr>
      <w:rPr>
        <w:rFonts w:hint="default"/>
        <w:lang w:val="en-US" w:eastAsia="zh-TW" w:bidi="ar-SA"/>
      </w:rPr>
    </w:lvl>
    <w:lvl w:ilvl="3" w:tplc="1F8EDC4A">
      <w:numFmt w:val="bullet"/>
      <w:lvlText w:val="•"/>
      <w:lvlJc w:val="left"/>
      <w:pPr>
        <w:ind w:left="2914" w:hanging="581"/>
      </w:pPr>
      <w:rPr>
        <w:rFonts w:hint="default"/>
        <w:lang w:val="en-US" w:eastAsia="zh-TW" w:bidi="ar-SA"/>
      </w:rPr>
    </w:lvl>
    <w:lvl w:ilvl="4" w:tplc="9BE40220">
      <w:numFmt w:val="bullet"/>
      <w:lvlText w:val="•"/>
      <w:lvlJc w:val="left"/>
      <w:pPr>
        <w:ind w:left="3645" w:hanging="581"/>
      </w:pPr>
      <w:rPr>
        <w:rFonts w:hint="default"/>
        <w:lang w:val="en-US" w:eastAsia="zh-TW" w:bidi="ar-SA"/>
      </w:rPr>
    </w:lvl>
    <w:lvl w:ilvl="5" w:tplc="DB70D6E0">
      <w:numFmt w:val="bullet"/>
      <w:lvlText w:val="•"/>
      <w:lvlJc w:val="left"/>
      <w:pPr>
        <w:ind w:left="4377" w:hanging="581"/>
      </w:pPr>
      <w:rPr>
        <w:rFonts w:hint="default"/>
        <w:lang w:val="en-US" w:eastAsia="zh-TW" w:bidi="ar-SA"/>
      </w:rPr>
    </w:lvl>
    <w:lvl w:ilvl="6" w:tplc="D464923C">
      <w:numFmt w:val="bullet"/>
      <w:lvlText w:val="•"/>
      <w:lvlJc w:val="left"/>
      <w:pPr>
        <w:ind w:left="5108" w:hanging="581"/>
      </w:pPr>
      <w:rPr>
        <w:rFonts w:hint="default"/>
        <w:lang w:val="en-US" w:eastAsia="zh-TW" w:bidi="ar-SA"/>
      </w:rPr>
    </w:lvl>
    <w:lvl w:ilvl="7" w:tplc="B2702140">
      <w:numFmt w:val="bullet"/>
      <w:lvlText w:val="•"/>
      <w:lvlJc w:val="left"/>
      <w:pPr>
        <w:ind w:left="5839" w:hanging="581"/>
      </w:pPr>
      <w:rPr>
        <w:rFonts w:hint="default"/>
        <w:lang w:val="en-US" w:eastAsia="zh-TW" w:bidi="ar-SA"/>
      </w:rPr>
    </w:lvl>
    <w:lvl w:ilvl="8" w:tplc="F8D25BA6">
      <w:numFmt w:val="bullet"/>
      <w:lvlText w:val="•"/>
      <w:lvlJc w:val="left"/>
      <w:pPr>
        <w:ind w:left="6571" w:hanging="581"/>
      </w:pPr>
      <w:rPr>
        <w:rFonts w:hint="default"/>
        <w:lang w:val="en-US" w:eastAsia="zh-TW" w:bidi="ar-SA"/>
      </w:rPr>
    </w:lvl>
  </w:abstractNum>
  <w:abstractNum w:abstractNumId="6" w15:restartNumberingAfterBreak="0">
    <w:nsid w:val="21B846BF"/>
    <w:multiLevelType w:val="hybridMultilevel"/>
    <w:tmpl w:val="A71A3F7C"/>
    <w:lvl w:ilvl="0" w:tplc="F78EAFE6">
      <w:start w:val="1"/>
      <w:numFmt w:val="chineseCountingThousand"/>
      <w:lvlText w:val="%1、"/>
      <w:lvlJc w:val="left"/>
      <w:pPr>
        <w:ind w:left="704" w:hanging="563"/>
      </w:pPr>
      <w:rPr>
        <w:rFonts w:ascii="SimSun" w:eastAsia="SimSun" w:hAnsi="SimSun" w:cs="SimSun" w:hint="default"/>
        <w:b w:val="0"/>
        <w:bCs w:val="0"/>
        <w:i w:val="0"/>
        <w:iCs w:val="0"/>
        <w:spacing w:val="0"/>
        <w:w w:val="100"/>
        <w:sz w:val="26"/>
        <w:szCs w:val="26"/>
        <w:lang w:val="en-US" w:eastAsia="zh-TW" w:bidi="ar-SA"/>
      </w:rPr>
    </w:lvl>
    <w:lvl w:ilvl="1" w:tplc="955A4682">
      <w:numFmt w:val="bullet"/>
      <w:lvlText w:val="•"/>
      <w:lvlJc w:val="left"/>
      <w:pPr>
        <w:ind w:left="1433" w:hanging="563"/>
      </w:pPr>
      <w:rPr>
        <w:rFonts w:hint="default"/>
        <w:lang w:val="en-US" w:eastAsia="zh-TW" w:bidi="ar-SA"/>
      </w:rPr>
    </w:lvl>
    <w:lvl w:ilvl="2" w:tplc="5A2EE98E">
      <w:numFmt w:val="bullet"/>
      <w:lvlText w:val="•"/>
      <w:lvlJc w:val="left"/>
      <w:pPr>
        <w:ind w:left="2167" w:hanging="563"/>
      </w:pPr>
      <w:rPr>
        <w:rFonts w:hint="default"/>
        <w:lang w:val="en-US" w:eastAsia="zh-TW" w:bidi="ar-SA"/>
      </w:rPr>
    </w:lvl>
    <w:lvl w:ilvl="3" w:tplc="72BE3F7E">
      <w:numFmt w:val="bullet"/>
      <w:lvlText w:val="•"/>
      <w:lvlJc w:val="left"/>
      <w:pPr>
        <w:ind w:left="2901" w:hanging="563"/>
      </w:pPr>
      <w:rPr>
        <w:rFonts w:hint="default"/>
        <w:lang w:val="en-US" w:eastAsia="zh-TW" w:bidi="ar-SA"/>
      </w:rPr>
    </w:lvl>
    <w:lvl w:ilvl="4" w:tplc="58EEF604">
      <w:numFmt w:val="bullet"/>
      <w:lvlText w:val="•"/>
      <w:lvlJc w:val="left"/>
      <w:pPr>
        <w:ind w:left="3635" w:hanging="563"/>
      </w:pPr>
      <w:rPr>
        <w:rFonts w:hint="default"/>
        <w:lang w:val="en-US" w:eastAsia="zh-TW" w:bidi="ar-SA"/>
      </w:rPr>
    </w:lvl>
    <w:lvl w:ilvl="5" w:tplc="A5D0981A">
      <w:numFmt w:val="bullet"/>
      <w:lvlText w:val="•"/>
      <w:lvlJc w:val="left"/>
      <w:pPr>
        <w:ind w:left="4369" w:hanging="563"/>
      </w:pPr>
      <w:rPr>
        <w:rFonts w:hint="default"/>
        <w:lang w:val="en-US" w:eastAsia="zh-TW" w:bidi="ar-SA"/>
      </w:rPr>
    </w:lvl>
    <w:lvl w:ilvl="6" w:tplc="C14869D0">
      <w:numFmt w:val="bullet"/>
      <w:lvlText w:val="•"/>
      <w:lvlJc w:val="left"/>
      <w:pPr>
        <w:ind w:left="5103" w:hanging="563"/>
      </w:pPr>
      <w:rPr>
        <w:rFonts w:hint="default"/>
        <w:lang w:val="en-US" w:eastAsia="zh-TW" w:bidi="ar-SA"/>
      </w:rPr>
    </w:lvl>
    <w:lvl w:ilvl="7" w:tplc="BB3EEE58">
      <w:numFmt w:val="bullet"/>
      <w:lvlText w:val="•"/>
      <w:lvlJc w:val="left"/>
      <w:pPr>
        <w:ind w:left="5837" w:hanging="563"/>
      </w:pPr>
      <w:rPr>
        <w:rFonts w:hint="default"/>
        <w:lang w:val="en-US" w:eastAsia="zh-TW" w:bidi="ar-SA"/>
      </w:rPr>
    </w:lvl>
    <w:lvl w:ilvl="8" w:tplc="5D9EFD64">
      <w:numFmt w:val="bullet"/>
      <w:lvlText w:val="•"/>
      <w:lvlJc w:val="left"/>
      <w:pPr>
        <w:ind w:left="6571" w:hanging="563"/>
      </w:pPr>
      <w:rPr>
        <w:rFonts w:hint="default"/>
        <w:lang w:val="en-US" w:eastAsia="zh-TW" w:bidi="ar-SA"/>
      </w:rPr>
    </w:lvl>
  </w:abstractNum>
  <w:abstractNum w:abstractNumId="7" w15:restartNumberingAfterBreak="0">
    <w:nsid w:val="220C51FB"/>
    <w:multiLevelType w:val="hybridMultilevel"/>
    <w:tmpl w:val="C2E6695E"/>
    <w:lvl w:ilvl="0" w:tplc="667AD90E">
      <w:start w:val="1"/>
      <w:numFmt w:val="taiwaneseCountingThousand"/>
      <w:lvlText w:val="第%1條"/>
      <w:lvlJc w:val="left"/>
      <w:pPr>
        <w:ind w:left="480" w:hanging="480"/>
      </w:pPr>
      <w:rPr>
        <w:rFonts w:hint="eastAsia"/>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FBBAB9B0">
      <w:start w:val="1"/>
      <w:numFmt w:val="taiwaneseCountingThousand"/>
      <w:lvlText w:val="%4、"/>
      <w:lvlJc w:val="left"/>
      <w:pPr>
        <w:ind w:left="1920"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695C9C"/>
    <w:multiLevelType w:val="hybridMultilevel"/>
    <w:tmpl w:val="F44235A2"/>
    <w:lvl w:ilvl="0" w:tplc="0409000F">
      <w:start w:val="1"/>
      <w:numFmt w:val="decimal"/>
      <w:lvlText w:val="%1."/>
      <w:lvlJc w:val="left"/>
      <w:pPr>
        <w:ind w:left="480" w:hanging="480"/>
      </w:pPr>
    </w:lvl>
    <w:lvl w:ilvl="1" w:tplc="F870AD5E">
      <w:start w:val="1"/>
      <w:numFmt w:val="taiwaneseCountingThousand"/>
      <w:lvlText w:val="第%2章"/>
      <w:lvlJc w:val="left"/>
      <w:pPr>
        <w:ind w:left="1920" w:hanging="1440"/>
      </w:pPr>
      <w:rPr>
        <w:rFonts w:hint="default"/>
      </w:rPr>
    </w:lvl>
    <w:lvl w:ilvl="2" w:tplc="0409001B">
      <w:start w:val="1"/>
      <w:numFmt w:val="lowerRoman"/>
      <w:lvlText w:val="%3."/>
      <w:lvlJc w:val="right"/>
      <w:pPr>
        <w:ind w:left="1440" w:hanging="480"/>
      </w:pPr>
    </w:lvl>
    <w:lvl w:ilvl="3" w:tplc="E92A78BC">
      <w:start w:val="1"/>
      <w:numFmt w:val="taiwaneseCountingThousand"/>
      <w:lvlText w:val="%4、"/>
      <w:lvlJc w:val="left"/>
      <w:pPr>
        <w:ind w:left="2160" w:hanging="720"/>
      </w:pPr>
      <w:rPr>
        <w:rFonts w:hint="default"/>
      </w:rPr>
    </w:lvl>
    <w:lvl w:ilvl="4" w:tplc="DEDA0AFE">
      <w:start w:val="1"/>
      <w:numFmt w:val="taiwaneseCountingThousand"/>
      <w:lvlText w:val="（%5）"/>
      <w:lvlJc w:val="left"/>
      <w:pPr>
        <w:ind w:left="3360" w:hanging="144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8D5CEB"/>
    <w:multiLevelType w:val="hybridMultilevel"/>
    <w:tmpl w:val="E3FA88FA"/>
    <w:lvl w:ilvl="0" w:tplc="667AD90E">
      <w:start w:val="1"/>
      <w:numFmt w:val="taiwaneseCountingThousand"/>
      <w:lvlText w:val="第%1條"/>
      <w:lvlJc w:val="left"/>
      <w:pPr>
        <w:ind w:left="480" w:hanging="480"/>
      </w:pPr>
      <w:rPr>
        <w:rFonts w:hint="eastAsia"/>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859064AE">
      <w:start w:val="1"/>
      <w:numFmt w:val="taiwaneseCountingThousand"/>
      <w:lvlText w:val="%4、"/>
      <w:lvlJc w:val="left"/>
      <w:pPr>
        <w:ind w:left="1920" w:hanging="480"/>
      </w:pPr>
      <w:rPr>
        <w:lang w:val="en-US"/>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333E38"/>
    <w:multiLevelType w:val="hybridMultilevel"/>
    <w:tmpl w:val="6F069C8C"/>
    <w:lvl w:ilvl="0" w:tplc="55C257E2">
      <w:start w:val="1"/>
      <w:numFmt w:val="chineseCountingThousand"/>
      <w:lvlText w:val="%1、"/>
      <w:lvlJc w:val="left"/>
      <w:pPr>
        <w:ind w:left="701" w:hanging="581"/>
      </w:pPr>
      <w:rPr>
        <w:rFonts w:ascii="SimSun" w:eastAsia="SimSun" w:hAnsi="SimSun" w:cs="SimSun" w:hint="default"/>
        <w:b w:val="0"/>
        <w:bCs w:val="0"/>
        <w:i w:val="0"/>
        <w:iCs w:val="0"/>
        <w:spacing w:val="9"/>
        <w:w w:val="100"/>
        <w:sz w:val="26"/>
        <w:szCs w:val="26"/>
        <w:lang w:val="en-US" w:eastAsia="zh-TW" w:bidi="ar-SA"/>
      </w:rPr>
    </w:lvl>
    <w:lvl w:ilvl="1" w:tplc="D4242044">
      <w:numFmt w:val="bullet"/>
      <w:lvlText w:val="•"/>
      <w:lvlJc w:val="left"/>
      <w:pPr>
        <w:ind w:left="1433" w:hanging="581"/>
      </w:pPr>
      <w:rPr>
        <w:rFonts w:hint="default"/>
        <w:lang w:val="en-US" w:eastAsia="zh-TW" w:bidi="ar-SA"/>
      </w:rPr>
    </w:lvl>
    <w:lvl w:ilvl="2" w:tplc="166444E2">
      <w:numFmt w:val="bullet"/>
      <w:lvlText w:val="•"/>
      <w:lvlJc w:val="left"/>
      <w:pPr>
        <w:ind w:left="2167" w:hanging="581"/>
      </w:pPr>
      <w:rPr>
        <w:rFonts w:hint="default"/>
        <w:lang w:val="en-US" w:eastAsia="zh-TW" w:bidi="ar-SA"/>
      </w:rPr>
    </w:lvl>
    <w:lvl w:ilvl="3" w:tplc="F1C826E8">
      <w:numFmt w:val="bullet"/>
      <w:lvlText w:val="•"/>
      <w:lvlJc w:val="left"/>
      <w:pPr>
        <w:ind w:left="2901" w:hanging="581"/>
      </w:pPr>
      <w:rPr>
        <w:rFonts w:hint="default"/>
        <w:lang w:val="en-US" w:eastAsia="zh-TW" w:bidi="ar-SA"/>
      </w:rPr>
    </w:lvl>
    <w:lvl w:ilvl="4" w:tplc="11AC7B34">
      <w:numFmt w:val="bullet"/>
      <w:lvlText w:val="•"/>
      <w:lvlJc w:val="left"/>
      <w:pPr>
        <w:ind w:left="3635" w:hanging="581"/>
      </w:pPr>
      <w:rPr>
        <w:rFonts w:hint="default"/>
        <w:lang w:val="en-US" w:eastAsia="zh-TW" w:bidi="ar-SA"/>
      </w:rPr>
    </w:lvl>
    <w:lvl w:ilvl="5" w:tplc="0D2E0718">
      <w:numFmt w:val="bullet"/>
      <w:lvlText w:val="•"/>
      <w:lvlJc w:val="left"/>
      <w:pPr>
        <w:ind w:left="4369" w:hanging="581"/>
      </w:pPr>
      <w:rPr>
        <w:rFonts w:hint="default"/>
        <w:lang w:val="en-US" w:eastAsia="zh-TW" w:bidi="ar-SA"/>
      </w:rPr>
    </w:lvl>
    <w:lvl w:ilvl="6" w:tplc="8306E36E">
      <w:numFmt w:val="bullet"/>
      <w:lvlText w:val="•"/>
      <w:lvlJc w:val="left"/>
      <w:pPr>
        <w:ind w:left="5103" w:hanging="581"/>
      </w:pPr>
      <w:rPr>
        <w:rFonts w:hint="default"/>
        <w:lang w:val="en-US" w:eastAsia="zh-TW" w:bidi="ar-SA"/>
      </w:rPr>
    </w:lvl>
    <w:lvl w:ilvl="7" w:tplc="7FC6766C">
      <w:numFmt w:val="bullet"/>
      <w:lvlText w:val="•"/>
      <w:lvlJc w:val="left"/>
      <w:pPr>
        <w:ind w:left="5837" w:hanging="581"/>
      </w:pPr>
      <w:rPr>
        <w:rFonts w:hint="default"/>
        <w:lang w:val="en-US" w:eastAsia="zh-TW" w:bidi="ar-SA"/>
      </w:rPr>
    </w:lvl>
    <w:lvl w:ilvl="8" w:tplc="68F4AF00">
      <w:numFmt w:val="bullet"/>
      <w:lvlText w:val="•"/>
      <w:lvlJc w:val="left"/>
      <w:pPr>
        <w:ind w:left="6571" w:hanging="581"/>
      </w:pPr>
      <w:rPr>
        <w:rFonts w:hint="default"/>
        <w:lang w:val="en-US" w:eastAsia="zh-TW" w:bidi="ar-SA"/>
      </w:rPr>
    </w:lvl>
  </w:abstractNum>
  <w:abstractNum w:abstractNumId="11" w15:restartNumberingAfterBreak="0">
    <w:nsid w:val="43502178"/>
    <w:multiLevelType w:val="hybridMultilevel"/>
    <w:tmpl w:val="4BB85D4E"/>
    <w:lvl w:ilvl="0" w:tplc="F81020EC">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274F4B"/>
    <w:multiLevelType w:val="hybridMultilevel"/>
    <w:tmpl w:val="6EA8A868"/>
    <w:lvl w:ilvl="0" w:tplc="49AA5E32">
      <w:start w:val="1"/>
      <w:numFmt w:val="chineseCountingThousand"/>
      <w:lvlText w:val="%1、"/>
      <w:lvlJc w:val="left"/>
      <w:pPr>
        <w:ind w:left="670" w:hanging="563"/>
      </w:pPr>
      <w:rPr>
        <w:rFonts w:ascii="SimSun" w:eastAsia="SimSun" w:hAnsi="SimSun" w:cs="SimSun" w:hint="default"/>
        <w:b w:val="0"/>
        <w:bCs w:val="0"/>
        <w:i w:val="0"/>
        <w:iCs w:val="0"/>
        <w:spacing w:val="0"/>
        <w:w w:val="100"/>
        <w:sz w:val="26"/>
        <w:szCs w:val="26"/>
        <w:lang w:val="en-US" w:eastAsia="zh-TW" w:bidi="ar-SA"/>
      </w:rPr>
    </w:lvl>
    <w:lvl w:ilvl="1" w:tplc="FCFAB2F4">
      <w:numFmt w:val="bullet"/>
      <w:lvlText w:val="•"/>
      <w:lvlJc w:val="left"/>
      <w:pPr>
        <w:ind w:left="1414" w:hanging="563"/>
      </w:pPr>
      <w:rPr>
        <w:rFonts w:hint="default"/>
        <w:lang w:val="en-US" w:eastAsia="zh-TW" w:bidi="ar-SA"/>
      </w:rPr>
    </w:lvl>
    <w:lvl w:ilvl="2" w:tplc="B570FAEC">
      <w:numFmt w:val="bullet"/>
      <w:lvlText w:val="•"/>
      <w:lvlJc w:val="left"/>
      <w:pPr>
        <w:ind w:left="2149" w:hanging="563"/>
      </w:pPr>
      <w:rPr>
        <w:rFonts w:hint="default"/>
        <w:lang w:val="en-US" w:eastAsia="zh-TW" w:bidi="ar-SA"/>
      </w:rPr>
    </w:lvl>
    <w:lvl w:ilvl="3" w:tplc="F432B660">
      <w:numFmt w:val="bullet"/>
      <w:lvlText w:val="•"/>
      <w:lvlJc w:val="left"/>
      <w:pPr>
        <w:ind w:left="2884" w:hanging="563"/>
      </w:pPr>
      <w:rPr>
        <w:rFonts w:hint="default"/>
        <w:lang w:val="en-US" w:eastAsia="zh-TW" w:bidi="ar-SA"/>
      </w:rPr>
    </w:lvl>
    <w:lvl w:ilvl="4" w:tplc="231AECB8">
      <w:numFmt w:val="bullet"/>
      <w:lvlText w:val="•"/>
      <w:lvlJc w:val="left"/>
      <w:pPr>
        <w:ind w:left="3619" w:hanging="563"/>
      </w:pPr>
      <w:rPr>
        <w:rFonts w:hint="default"/>
        <w:lang w:val="en-US" w:eastAsia="zh-TW" w:bidi="ar-SA"/>
      </w:rPr>
    </w:lvl>
    <w:lvl w:ilvl="5" w:tplc="E4C01C70">
      <w:numFmt w:val="bullet"/>
      <w:lvlText w:val="•"/>
      <w:lvlJc w:val="left"/>
      <w:pPr>
        <w:ind w:left="4354" w:hanging="563"/>
      </w:pPr>
      <w:rPr>
        <w:rFonts w:hint="default"/>
        <w:lang w:val="en-US" w:eastAsia="zh-TW" w:bidi="ar-SA"/>
      </w:rPr>
    </w:lvl>
    <w:lvl w:ilvl="6" w:tplc="6512C932">
      <w:numFmt w:val="bullet"/>
      <w:lvlText w:val="•"/>
      <w:lvlJc w:val="left"/>
      <w:pPr>
        <w:ind w:left="5088" w:hanging="563"/>
      </w:pPr>
      <w:rPr>
        <w:rFonts w:hint="default"/>
        <w:lang w:val="en-US" w:eastAsia="zh-TW" w:bidi="ar-SA"/>
      </w:rPr>
    </w:lvl>
    <w:lvl w:ilvl="7" w:tplc="2236CD94">
      <w:numFmt w:val="bullet"/>
      <w:lvlText w:val="•"/>
      <w:lvlJc w:val="left"/>
      <w:pPr>
        <w:ind w:left="5823" w:hanging="563"/>
      </w:pPr>
      <w:rPr>
        <w:rFonts w:hint="default"/>
        <w:lang w:val="en-US" w:eastAsia="zh-TW" w:bidi="ar-SA"/>
      </w:rPr>
    </w:lvl>
    <w:lvl w:ilvl="8" w:tplc="26FABFC2">
      <w:numFmt w:val="bullet"/>
      <w:lvlText w:val="•"/>
      <w:lvlJc w:val="left"/>
      <w:pPr>
        <w:ind w:left="6558" w:hanging="563"/>
      </w:pPr>
      <w:rPr>
        <w:rFonts w:hint="default"/>
        <w:lang w:val="en-US" w:eastAsia="zh-TW" w:bidi="ar-SA"/>
      </w:rPr>
    </w:lvl>
  </w:abstractNum>
  <w:abstractNum w:abstractNumId="13" w15:restartNumberingAfterBreak="0">
    <w:nsid w:val="5910734B"/>
    <w:multiLevelType w:val="hybridMultilevel"/>
    <w:tmpl w:val="C04A5D44"/>
    <w:lvl w:ilvl="0" w:tplc="8AA67148">
      <w:start w:val="1"/>
      <w:numFmt w:val="chineseCountingThousand"/>
      <w:lvlText w:val="%1、"/>
      <w:lvlJc w:val="left"/>
      <w:pPr>
        <w:ind w:left="732" w:hanging="581"/>
      </w:pPr>
      <w:rPr>
        <w:rFonts w:ascii="SimSun" w:eastAsia="SimSun" w:hAnsi="SimSun" w:cs="SimSun" w:hint="default"/>
        <w:b w:val="0"/>
        <w:bCs w:val="0"/>
        <w:i w:val="0"/>
        <w:iCs w:val="0"/>
        <w:spacing w:val="9"/>
        <w:w w:val="100"/>
        <w:sz w:val="26"/>
        <w:szCs w:val="26"/>
        <w:lang w:val="en-US" w:eastAsia="zh-TW" w:bidi="ar-SA"/>
      </w:rPr>
    </w:lvl>
    <w:lvl w:ilvl="1" w:tplc="3A204256">
      <w:start w:val="1"/>
      <w:numFmt w:val="chineseCountingThousand"/>
      <w:lvlText w:val="（%2）"/>
      <w:lvlJc w:val="left"/>
      <w:pPr>
        <w:ind w:left="1551" w:hanging="844"/>
      </w:pPr>
      <w:rPr>
        <w:rFonts w:ascii="SimSun" w:eastAsia="SimSun" w:hAnsi="SimSun" w:cs="SimSun" w:hint="default"/>
        <w:b w:val="0"/>
        <w:bCs w:val="0"/>
        <w:i w:val="0"/>
        <w:iCs w:val="0"/>
        <w:spacing w:val="0"/>
        <w:w w:val="100"/>
        <w:sz w:val="26"/>
        <w:szCs w:val="26"/>
        <w:lang w:val="en-US" w:eastAsia="zh-TW" w:bidi="ar-SA"/>
      </w:rPr>
    </w:lvl>
    <w:lvl w:ilvl="2" w:tplc="63C26726">
      <w:numFmt w:val="bullet"/>
      <w:lvlText w:val="•"/>
      <w:lvlJc w:val="left"/>
      <w:pPr>
        <w:ind w:left="2281" w:hanging="844"/>
      </w:pPr>
      <w:rPr>
        <w:rFonts w:hint="default"/>
        <w:lang w:val="en-US" w:eastAsia="zh-TW" w:bidi="ar-SA"/>
      </w:rPr>
    </w:lvl>
    <w:lvl w:ilvl="3" w:tplc="86E8F726">
      <w:numFmt w:val="bullet"/>
      <w:lvlText w:val="•"/>
      <w:lvlJc w:val="left"/>
      <w:pPr>
        <w:ind w:left="3002" w:hanging="844"/>
      </w:pPr>
      <w:rPr>
        <w:rFonts w:hint="default"/>
        <w:lang w:val="en-US" w:eastAsia="zh-TW" w:bidi="ar-SA"/>
      </w:rPr>
    </w:lvl>
    <w:lvl w:ilvl="4" w:tplc="EEEEE9AE">
      <w:numFmt w:val="bullet"/>
      <w:lvlText w:val="•"/>
      <w:lvlJc w:val="left"/>
      <w:pPr>
        <w:ind w:left="3724" w:hanging="844"/>
      </w:pPr>
      <w:rPr>
        <w:rFonts w:hint="default"/>
        <w:lang w:val="en-US" w:eastAsia="zh-TW" w:bidi="ar-SA"/>
      </w:rPr>
    </w:lvl>
    <w:lvl w:ilvl="5" w:tplc="75FA94FC">
      <w:numFmt w:val="bullet"/>
      <w:lvlText w:val="•"/>
      <w:lvlJc w:val="left"/>
      <w:pPr>
        <w:ind w:left="4445" w:hanging="844"/>
      </w:pPr>
      <w:rPr>
        <w:rFonts w:hint="default"/>
        <w:lang w:val="en-US" w:eastAsia="zh-TW" w:bidi="ar-SA"/>
      </w:rPr>
    </w:lvl>
    <w:lvl w:ilvl="6" w:tplc="019E7A50">
      <w:numFmt w:val="bullet"/>
      <w:lvlText w:val="•"/>
      <w:lvlJc w:val="left"/>
      <w:pPr>
        <w:ind w:left="5166" w:hanging="844"/>
      </w:pPr>
      <w:rPr>
        <w:rFonts w:hint="default"/>
        <w:lang w:val="en-US" w:eastAsia="zh-TW" w:bidi="ar-SA"/>
      </w:rPr>
    </w:lvl>
    <w:lvl w:ilvl="7" w:tplc="C0D8D386">
      <w:numFmt w:val="bullet"/>
      <w:lvlText w:val="•"/>
      <w:lvlJc w:val="left"/>
      <w:pPr>
        <w:ind w:left="5888" w:hanging="844"/>
      </w:pPr>
      <w:rPr>
        <w:rFonts w:hint="default"/>
        <w:lang w:val="en-US" w:eastAsia="zh-TW" w:bidi="ar-SA"/>
      </w:rPr>
    </w:lvl>
    <w:lvl w:ilvl="8" w:tplc="556478EE">
      <w:numFmt w:val="bullet"/>
      <w:lvlText w:val="•"/>
      <w:lvlJc w:val="left"/>
      <w:pPr>
        <w:ind w:left="6609" w:hanging="844"/>
      </w:pPr>
      <w:rPr>
        <w:rFonts w:hint="default"/>
        <w:lang w:val="en-US" w:eastAsia="zh-TW" w:bidi="ar-SA"/>
      </w:rPr>
    </w:lvl>
  </w:abstractNum>
  <w:abstractNum w:abstractNumId="14" w15:restartNumberingAfterBreak="0">
    <w:nsid w:val="65484C0A"/>
    <w:multiLevelType w:val="hybridMultilevel"/>
    <w:tmpl w:val="ACD4CCF0"/>
    <w:lvl w:ilvl="0" w:tplc="667AD90E">
      <w:start w:val="1"/>
      <w:numFmt w:val="taiwaneseCountingThousand"/>
      <w:lvlText w:val="第%1條"/>
      <w:lvlJc w:val="left"/>
      <w:pPr>
        <w:ind w:left="480" w:hanging="480"/>
      </w:pPr>
      <w:rPr>
        <w:rFonts w:hint="eastAsia"/>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D542CAA0">
      <w:start w:val="1"/>
      <w:numFmt w:val="taiwaneseCountingThousand"/>
      <w:lvlText w:val="(%4)、"/>
      <w:lvlJc w:val="left"/>
      <w:pPr>
        <w:ind w:left="1920"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5F2F8D"/>
    <w:multiLevelType w:val="hybridMultilevel"/>
    <w:tmpl w:val="F808D5B6"/>
    <w:lvl w:ilvl="0" w:tplc="4928F86A">
      <w:start w:val="1"/>
      <w:numFmt w:val="chineseCountingThousand"/>
      <w:lvlText w:val="%1、"/>
      <w:lvlJc w:val="left"/>
      <w:pPr>
        <w:ind w:left="658" w:hanging="563"/>
      </w:pPr>
      <w:rPr>
        <w:rFonts w:ascii="SimSun" w:eastAsia="SimSun" w:hAnsi="SimSun" w:cs="SimSun" w:hint="default"/>
        <w:b w:val="0"/>
        <w:bCs w:val="0"/>
        <w:i w:val="0"/>
        <w:iCs w:val="0"/>
        <w:spacing w:val="0"/>
        <w:w w:val="100"/>
        <w:sz w:val="26"/>
        <w:szCs w:val="26"/>
        <w:lang w:val="en-US" w:eastAsia="zh-TW" w:bidi="ar-SA"/>
      </w:rPr>
    </w:lvl>
    <w:lvl w:ilvl="1" w:tplc="BE7E5CFE">
      <w:numFmt w:val="bullet"/>
      <w:lvlText w:val="•"/>
      <w:lvlJc w:val="left"/>
      <w:pPr>
        <w:ind w:left="1396" w:hanging="563"/>
      </w:pPr>
      <w:rPr>
        <w:rFonts w:hint="default"/>
        <w:lang w:val="en-US" w:eastAsia="zh-TW" w:bidi="ar-SA"/>
      </w:rPr>
    </w:lvl>
    <w:lvl w:ilvl="2" w:tplc="DA14D308">
      <w:numFmt w:val="bullet"/>
      <w:lvlText w:val="•"/>
      <w:lvlJc w:val="left"/>
      <w:pPr>
        <w:ind w:left="2133" w:hanging="563"/>
      </w:pPr>
      <w:rPr>
        <w:rFonts w:hint="default"/>
        <w:lang w:val="en-US" w:eastAsia="zh-TW" w:bidi="ar-SA"/>
      </w:rPr>
    </w:lvl>
    <w:lvl w:ilvl="3" w:tplc="7452FD44">
      <w:numFmt w:val="bullet"/>
      <w:lvlText w:val="•"/>
      <w:lvlJc w:val="left"/>
      <w:pPr>
        <w:ind w:left="2870" w:hanging="563"/>
      </w:pPr>
      <w:rPr>
        <w:rFonts w:hint="default"/>
        <w:lang w:val="en-US" w:eastAsia="zh-TW" w:bidi="ar-SA"/>
      </w:rPr>
    </w:lvl>
    <w:lvl w:ilvl="4" w:tplc="A2122298">
      <w:numFmt w:val="bullet"/>
      <w:lvlText w:val="•"/>
      <w:lvlJc w:val="left"/>
      <w:pPr>
        <w:ind w:left="3607" w:hanging="563"/>
      </w:pPr>
      <w:rPr>
        <w:rFonts w:hint="default"/>
        <w:lang w:val="en-US" w:eastAsia="zh-TW" w:bidi="ar-SA"/>
      </w:rPr>
    </w:lvl>
    <w:lvl w:ilvl="5" w:tplc="8EDAD284">
      <w:numFmt w:val="bullet"/>
      <w:lvlText w:val="•"/>
      <w:lvlJc w:val="left"/>
      <w:pPr>
        <w:ind w:left="4344" w:hanging="563"/>
      </w:pPr>
      <w:rPr>
        <w:rFonts w:hint="default"/>
        <w:lang w:val="en-US" w:eastAsia="zh-TW" w:bidi="ar-SA"/>
      </w:rPr>
    </w:lvl>
    <w:lvl w:ilvl="6" w:tplc="ACA23C62">
      <w:numFmt w:val="bullet"/>
      <w:lvlText w:val="•"/>
      <w:lvlJc w:val="left"/>
      <w:pPr>
        <w:ind w:left="5080" w:hanging="563"/>
      </w:pPr>
      <w:rPr>
        <w:rFonts w:hint="default"/>
        <w:lang w:val="en-US" w:eastAsia="zh-TW" w:bidi="ar-SA"/>
      </w:rPr>
    </w:lvl>
    <w:lvl w:ilvl="7" w:tplc="D89C8F0A">
      <w:numFmt w:val="bullet"/>
      <w:lvlText w:val="•"/>
      <w:lvlJc w:val="left"/>
      <w:pPr>
        <w:ind w:left="5817" w:hanging="563"/>
      </w:pPr>
      <w:rPr>
        <w:rFonts w:hint="default"/>
        <w:lang w:val="en-US" w:eastAsia="zh-TW" w:bidi="ar-SA"/>
      </w:rPr>
    </w:lvl>
    <w:lvl w:ilvl="8" w:tplc="ED72D1EE">
      <w:numFmt w:val="bullet"/>
      <w:lvlText w:val="•"/>
      <w:lvlJc w:val="left"/>
      <w:pPr>
        <w:ind w:left="6554" w:hanging="563"/>
      </w:pPr>
      <w:rPr>
        <w:rFonts w:hint="default"/>
        <w:lang w:val="en-US" w:eastAsia="zh-TW" w:bidi="ar-SA"/>
      </w:rPr>
    </w:lvl>
  </w:abstractNum>
  <w:abstractNum w:abstractNumId="16" w15:restartNumberingAfterBreak="0">
    <w:nsid w:val="6D87326A"/>
    <w:multiLevelType w:val="hybridMultilevel"/>
    <w:tmpl w:val="9A3C7236"/>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7191111D"/>
    <w:multiLevelType w:val="hybridMultilevel"/>
    <w:tmpl w:val="6584D38E"/>
    <w:lvl w:ilvl="0" w:tplc="94CE1B58">
      <w:start w:val="1"/>
      <w:numFmt w:val="chineseCountingThousand"/>
      <w:lvlText w:val="%1、"/>
      <w:lvlJc w:val="left"/>
      <w:pPr>
        <w:ind w:left="717" w:hanging="581"/>
      </w:pPr>
      <w:rPr>
        <w:rFonts w:ascii="SimSun" w:eastAsia="SimSun" w:hAnsi="SimSun" w:cs="SimSun" w:hint="default"/>
        <w:b w:val="0"/>
        <w:bCs w:val="0"/>
        <w:i w:val="0"/>
        <w:iCs w:val="0"/>
        <w:spacing w:val="9"/>
        <w:w w:val="100"/>
        <w:sz w:val="26"/>
        <w:szCs w:val="26"/>
        <w:lang w:val="en-US" w:eastAsia="zh-TW" w:bidi="ar-SA"/>
      </w:rPr>
    </w:lvl>
    <w:lvl w:ilvl="1" w:tplc="3D86B406">
      <w:numFmt w:val="bullet"/>
      <w:lvlText w:val="•"/>
      <w:lvlJc w:val="left"/>
      <w:pPr>
        <w:ind w:left="1451" w:hanging="581"/>
      </w:pPr>
      <w:rPr>
        <w:rFonts w:hint="default"/>
        <w:lang w:val="en-US" w:eastAsia="zh-TW" w:bidi="ar-SA"/>
      </w:rPr>
    </w:lvl>
    <w:lvl w:ilvl="2" w:tplc="D7CADC46">
      <w:numFmt w:val="bullet"/>
      <w:lvlText w:val="•"/>
      <w:lvlJc w:val="left"/>
      <w:pPr>
        <w:ind w:left="2183" w:hanging="581"/>
      </w:pPr>
      <w:rPr>
        <w:rFonts w:hint="default"/>
        <w:lang w:val="en-US" w:eastAsia="zh-TW" w:bidi="ar-SA"/>
      </w:rPr>
    </w:lvl>
    <w:lvl w:ilvl="3" w:tplc="0C6AAC04">
      <w:numFmt w:val="bullet"/>
      <w:lvlText w:val="•"/>
      <w:lvlJc w:val="left"/>
      <w:pPr>
        <w:ind w:left="2915" w:hanging="581"/>
      </w:pPr>
      <w:rPr>
        <w:rFonts w:hint="default"/>
        <w:lang w:val="en-US" w:eastAsia="zh-TW" w:bidi="ar-SA"/>
      </w:rPr>
    </w:lvl>
    <w:lvl w:ilvl="4" w:tplc="A54E3DDA">
      <w:numFmt w:val="bullet"/>
      <w:lvlText w:val="•"/>
      <w:lvlJc w:val="left"/>
      <w:pPr>
        <w:ind w:left="3646" w:hanging="581"/>
      </w:pPr>
      <w:rPr>
        <w:rFonts w:hint="default"/>
        <w:lang w:val="en-US" w:eastAsia="zh-TW" w:bidi="ar-SA"/>
      </w:rPr>
    </w:lvl>
    <w:lvl w:ilvl="5" w:tplc="66565E8E">
      <w:numFmt w:val="bullet"/>
      <w:lvlText w:val="•"/>
      <w:lvlJc w:val="left"/>
      <w:pPr>
        <w:ind w:left="4378" w:hanging="581"/>
      </w:pPr>
      <w:rPr>
        <w:rFonts w:hint="default"/>
        <w:lang w:val="en-US" w:eastAsia="zh-TW" w:bidi="ar-SA"/>
      </w:rPr>
    </w:lvl>
    <w:lvl w:ilvl="6" w:tplc="07082F02">
      <w:numFmt w:val="bullet"/>
      <w:lvlText w:val="•"/>
      <w:lvlJc w:val="left"/>
      <w:pPr>
        <w:ind w:left="5110" w:hanging="581"/>
      </w:pPr>
      <w:rPr>
        <w:rFonts w:hint="default"/>
        <w:lang w:val="en-US" w:eastAsia="zh-TW" w:bidi="ar-SA"/>
      </w:rPr>
    </w:lvl>
    <w:lvl w:ilvl="7" w:tplc="EE5CF474">
      <w:numFmt w:val="bullet"/>
      <w:lvlText w:val="•"/>
      <w:lvlJc w:val="left"/>
      <w:pPr>
        <w:ind w:left="5841" w:hanging="581"/>
      </w:pPr>
      <w:rPr>
        <w:rFonts w:hint="default"/>
        <w:lang w:val="en-US" w:eastAsia="zh-TW" w:bidi="ar-SA"/>
      </w:rPr>
    </w:lvl>
    <w:lvl w:ilvl="8" w:tplc="94BC69A4">
      <w:numFmt w:val="bullet"/>
      <w:lvlText w:val="•"/>
      <w:lvlJc w:val="left"/>
      <w:pPr>
        <w:ind w:left="6573" w:hanging="581"/>
      </w:pPr>
      <w:rPr>
        <w:rFonts w:hint="default"/>
        <w:lang w:val="en-US" w:eastAsia="zh-TW" w:bidi="ar-SA"/>
      </w:rPr>
    </w:lvl>
  </w:abstractNum>
  <w:abstractNum w:abstractNumId="18" w15:restartNumberingAfterBreak="0">
    <w:nsid w:val="74397F76"/>
    <w:multiLevelType w:val="hybridMultilevel"/>
    <w:tmpl w:val="6B203F88"/>
    <w:lvl w:ilvl="0" w:tplc="D2628A72">
      <w:start w:val="1"/>
      <w:numFmt w:val="chineseCountingThousand"/>
      <w:lvlText w:val="%1、"/>
      <w:lvlJc w:val="left"/>
      <w:pPr>
        <w:ind w:left="665" w:hanging="581"/>
      </w:pPr>
      <w:rPr>
        <w:rFonts w:ascii="SimSun" w:eastAsia="SimSun" w:hAnsi="SimSun" w:cs="SimSun" w:hint="default"/>
        <w:b w:val="0"/>
        <w:bCs w:val="0"/>
        <w:i w:val="0"/>
        <w:iCs w:val="0"/>
        <w:spacing w:val="9"/>
        <w:w w:val="100"/>
        <w:sz w:val="26"/>
        <w:szCs w:val="26"/>
        <w:lang w:val="en-US" w:eastAsia="zh-TW" w:bidi="ar-SA"/>
      </w:rPr>
    </w:lvl>
    <w:lvl w:ilvl="1" w:tplc="A34E7AD0">
      <w:numFmt w:val="bullet"/>
      <w:lvlText w:val="•"/>
      <w:lvlJc w:val="left"/>
      <w:pPr>
        <w:ind w:left="1397" w:hanging="581"/>
      </w:pPr>
      <w:rPr>
        <w:rFonts w:hint="default"/>
        <w:lang w:val="en-US" w:eastAsia="zh-TW" w:bidi="ar-SA"/>
      </w:rPr>
    </w:lvl>
    <w:lvl w:ilvl="2" w:tplc="F96EBC74">
      <w:numFmt w:val="bullet"/>
      <w:lvlText w:val="•"/>
      <w:lvlJc w:val="left"/>
      <w:pPr>
        <w:ind w:left="2134" w:hanging="581"/>
      </w:pPr>
      <w:rPr>
        <w:rFonts w:hint="default"/>
        <w:lang w:val="en-US" w:eastAsia="zh-TW" w:bidi="ar-SA"/>
      </w:rPr>
    </w:lvl>
    <w:lvl w:ilvl="3" w:tplc="1CF087B8">
      <w:numFmt w:val="bullet"/>
      <w:lvlText w:val="•"/>
      <w:lvlJc w:val="left"/>
      <w:pPr>
        <w:ind w:left="2872" w:hanging="581"/>
      </w:pPr>
      <w:rPr>
        <w:rFonts w:hint="default"/>
        <w:lang w:val="en-US" w:eastAsia="zh-TW" w:bidi="ar-SA"/>
      </w:rPr>
    </w:lvl>
    <w:lvl w:ilvl="4" w:tplc="3566F644">
      <w:numFmt w:val="bullet"/>
      <w:lvlText w:val="•"/>
      <w:lvlJc w:val="left"/>
      <w:pPr>
        <w:ind w:left="3609" w:hanging="581"/>
      </w:pPr>
      <w:rPr>
        <w:rFonts w:hint="default"/>
        <w:lang w:val="en-US" w:eastAsia="zh-TW" w:bidi="ar-SA"/>
      </w:rPr>
    </w:lvl>
    <w:lvl w:ilvl="5" w:tplc="2AD6BF76">
      <w:numFmt w:val="bullet"/>
      <w:lvlText w:val="•"/>
      <w:lvlJc w:val="left"/>
      <w:pPr>
        <w:ind w:left="4347" w:hanging="581"/>
      </w:pPr>
      <w:rPr>
        <w:rFonts w:hint="default"/>
        <w:lang w:val="en-US" w:eastAsia="zh-TW" w:bidi="ar-SA"/>
      </w:rPr>
    </w:lvl>
    <w:lvl w:ilvl="6" w:tplc="C72A3F18">
      <w:numFmt w:val="bullet"/>
      <w:lvlText w:val="•"/>
      <w:lvlJc w:val="left"/>
      <w:pPr>
        <w:ind w:left="5084" w:hanging="581"/>
      </w:pPr>
      <w:rPr>
        <w:rFonts w:hint="default"/>
        <w:lang w:val="en-US" w:eastAsia="zh-TW" w:bidi="ar-SA"/>
      </w:rPr>
    </w:lvl>
    <w:lvl w:ilvl="7" w:tplc="FCC4B7A2">
      <w:numFmt w:val="bullet"/>
      <w:lvlText w:val="•"/>
      <w:lvlJc w:val="left"/>
      <w:pPr>
        <w:ind w:left="5821" w:hanging="581"/>
      </w:pPr>
      <w:rPr>
        <w:rFonts w:hint="default"/>
        <w:lang w:val="en-US" w:eastAsia="zh-TW" w:bidi="ar-SA"/>
      </w:rPr>
    </w:lvl>
    <w:lvl w:ilvl="8" w:tplc="620C05EA">
      <w:numFmt w:val="bullet"/>
      <w:lvlText w:val="•"/>
      <w:lvlJc w:val="left"/>
      <w:pPr>
        <w:ind w:left="6559" w:hanging="581"/>
      </w:pPr>
      <w:rPr>
        <w:rFonts w:hint="default"/>
        <w:lang w:val="en-US" w:eastAsia="zh-TW" w:bidi="ar-SA"/>
      </w:rPr>
    </w:lvl>
  </w:abstractNum>
  <w:num w:numId="1">
    <w:abstractNumId w:val="18"/>
  </w:num>
  <w:num w:numId="2">
    <w:abstractNumId w:val="5"/>
  </w:num>
  <w:num w:numId="3">
    <w:abstractNumId w:val="10"/>
  </w:num>
  <w:num w:numId="4">
    <w:abstractNumId w:val="6"/>
  </w:num>
  <w:num w:numId="5">
    <w:abstractNumId w:val="13"/>
  </w:num>
  <w:num w:numId="6">
    <w:abstractNumId w:val="17"/>
  </w:num>
  <w:num w:numId="7">
    <w:abstractNumId w:val="2"/>
  </w:num>
  <w:num w:numId="8">
    <w:abstractNumId w:val="12"/>
  </w:num>
  <w:num w:numId="9">
    <w:abstractNumId w:val="0"/>
  </w:num>
  <w:num w:numId="10">
    <w:abstractNumId w:val="15"/>
  </w:num>
  <w:num w:numId="11">
    <w:abstractNumId w:val="3"/>
  </w:num>
  <w:num w:numId="12">
    <w:abstractNumId w:val="8"/>
  </w:num>
  <w:num w:numId="13">
    <w:abstractNumId w:val="9"/>
  </w:num>
  <w:num w:numId="14">
    <w:abstractNumId w:val="1"/>
  </w:num>
  <w:num w:numId="15">
    <w:abstractNumId w:val="4"/>
  </w:num>
  <w:num w:numId="16">
    <w:abstractNumId w:val="11"/>
  </w:num>
  <w:num w:numId="17">
    <w:abstractNumId w:val="14"/>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3A"/>
    <w:rsid w:val="000442C6"/>
    <w:rsid w:val="00097537"/>
    <w:rsid w:val="000E0E22"/>
    <w:rsid w:val="00120CED"/>
    <w:rsid w:val="001C3DCF"/>
    <w:rsid w:val="002D5DC3"/>
    <w:rsid w:val="0041566C"/>
    <w:rsid w:val="00543F46"/>
    <w:rsid w:val="0082233A"/>
    <w:rsid w:val="00A37646"/>
    <w:rsid w:val="00B34281"/>
    <w:rsid w:val="00C37E01"/>
    <w:rsid w:val="00D57098"/>
    <w:rsid w:val="00F65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01EB6"/>
  <w15:docId w15:val="{84178986-C1A6-4761-B232-D3A6FD78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01" w:lineRule="exact"/>
      <w:ind w:left="14"/>
      <w:jc w:val="center"/>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spacing w:before="47"/>
    </w:pPr>
  </w:style>
  <w:style w:type="paragraph" w:styleId="a5">
    <w:name w:val="header"/>
    <w:basedOn w:val="a"/>
    <w:link w:val="a6"/>
    <w:uiPriority w:val="99"/>
    <w:unhideWhenUsed/>
    <w:rsid w:val="00B34281"/>
    <w:pPr>
      <w:tabs>
        <w:tab w:val="center" w:pos="4153"/>
        <w:tab w:val="right" w:pos="8306"/>
      </w:tabs>
      <w:snapToGrid w:val="0"/>
    </w:pPr>
    <w:rPr>
      <w:sz w:val="20"/>
      <w:szCs w:val="20"/>
    </w:rPr>
  </w:style>
  <w:style w:type="character" w:customStyle="1" w:styleId="a6">
    <w:name w:val="頁首 字元"/>
    <w:basedOn w:val="a0"/>
    <w:link w:val="a5"/>
    <w:uiPriority w:val="99"/>
    <w:rsid w:val="00B34281"/>
    <w:rPr>
      <w:rFonts w:ascii="SimSun" w:eastAsia="SimSun" w:hAnsi="SimSun" w:cs="SimSun"/>
      <w:sz w:val="20"/>
      <w:szCs w:val="20"/>
      <w:lang w:eastAsia="zh-TW"/>
    </w:rPr>
  </w:style>
  <w:style w:type="paragraph" w:styleId="a7">
    <w:name w:val="footer"/>
    <w:basedOn w:val="a"/>
    <w:link w:val="a8"/>
    <w:uiPriority w:val="99"/>
    <w:unhideWhenUsed/>
    <w:rsid w:val="00B34281"/>
    <w:pPr>
      <w:tabs>
        <w:tab w:val="center" w:pos="4153"/>
        <w:tab w:val="right" w:pos="8306"/>
      </w:tabs>
      <w:snapToGrid w:val="0"/>
    </w:pPr>
    <w:rPr>
      <w:sz w:val="20"/>
      <w:szCs w:val="20"/>
    </w:rPr>
  </w:style>
  <w:style w:type="character" w:customStyle="1" w:styleId="a8">
    <w:name w:val="頁尾 字元"/>
    <w:basedOn w:val="a0"/>
    <w:link w:val="a7"/>
    <w:uiPriority w:val="99"/>
    <w:rsid w:val="00B34281"/>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9</cp:revision>
  <dcterms:created xsi:type="dcterms:W3CDTF">2026-05-14T01:40:00Z</dcterms:created>
  <dcterms:modified xsi:type="dcterms:W3CDTF">2026-05-14T05:34:00Z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2026-03-06T00:00:00Z</vt:filetime>
  </property>
  <property fmtid="{D5CDD505-2E9C-101B-9397-08002B2CF9AE}" pid="4" name="Creator">
    <vt:lpwstr>Microsoft® Word LTSC</vt:lpwstr>
  </property>
  <property fmtid="{D5CDD505-2E9C-101B-9397-08002B2CF9AE}" pid="5" name="LastSaved">
    <vt:filetime>2026-05-14T00:00:00Z</vt:filetime>
  </property>
  <property fmtid="{D5CDD505-2E9C-101B-9397-08002B2CF9AE}" pid="6" name="Producer">
    <vt:lpwstr>Microsoft® Word LTSC</vt:lpwstr>
  </property>
</Properties>
</file>