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E8" w:rsidRPr="00176BC6" w:rsidRDefault="00176BC6">
      <w:pPr>
        <w:pStyle w:val="1"/>
        <w:rPr>
          <w:sz w:val="40"/>
          <w:szCs w:val="40"/>
        </w:rPr>
      </w:pPr>
      <w:r w:rsidRPr="00176BC6">
        <w:rPr>
          <w:spacing w:val="-5"/>
          <w:sz w:val="40"/>
          <w:szCs w:val="40"/>
        </w:rPr>
        <w:t>復興藝術實驗學院</w:t>
      </w:r>
      <w:proofErr w:type="gramStart"/>
      <w:r w:rsidR="006E2DC7" w:rsidRPr="00176BC6">
        <w:rPr>
          <w:spacing w:val="-5"/>
          <w:sz w:val="40"/>
          <w:szCs w:val="40"/>
        </w:rPr>
        <w:t>教職員工敘薪</w:t>
      </w:r>
      <w:proofErr w:type="gramEnd"/>
      <w:r w:rsidR="006E2DC7" w:rsidRPr="00176BC6">
        <w:rPr>
          <w:spacing w:val="-5"/>
          <w:sz w:val="40"/>
          <w:szCs w:val="40"/>
        </w:rPr>
        <w:t>辦法</w:t>
      </w:r>
    </w:p>
    <w:p w:rsidR="003F45E8" w:rsidRPr="00176BC6" w:rsidRDefault="006E2DC7" w:rsidP="00176BC6">
      <w:pPr>
        <w:spacing w:line="360" w:lineRule="exact"/>
        <w:ind w:right="281"/>
        <w:jc w:val="right"/>
        <w:rPr>
          <w:rFonts w:ascii="微軟正黑體" w:eastAsia="微軟正黑體" w:hAnsi="微軟正黑體"/>
          <w:spacing w:val="-2"/>
          <w:sz w:val="20"/>
          <w:szCs w:val="20"/>
        </w:rPr>
      </w:pPr>
      <w:r w:rsidRPr="00176BC6">
        <w:rPr>
          <w:rFonts w:ascii="微軟正黑體" w:eastAsia="微軟正黑體" w:hAnsi="微軟正黑體"/>
          <w:spacing w:val="-17"/>
          <w:sz w:val="20"/>
          <w:szCs w:val="20"/>
        </w:rPr>
        <w:t>民國</w:t>
      </w:r>
      <w:r w:rsidR="00DA5008">
        <w:rPr>
          <w:rFonts w:ascii="微軟正黑體" w:eastAsia="微軟正黑體" w:hAnsi="微軟正黑體" w:hint="eastAsia"/>
          <w:spacing w:val="-17"/>
          <w:sz w:val="20"/>
          <w:szCs w:val="20"/>
        </w:rPr>
        <w:t xml:space="preserve">   </w:t>
      </w:r>
      <w:r w:rsidRPr="00176BC6">
        <w:rPr>
          <w:rFonts w:ascii="微軟正黑體" w:eastAsia="微軟正黑體" w:hAnsi="微軟正黑體"/>
          <w:spacing w:val="-25"/>
          <w:sz w:val="20"/>
          <w:szCs w:val="20"/>
        </w:rPr>
        <w:t>年</w:t>
      </w:r>
      <w:r w:rsidR="00DA5008">
        <w:rPr>
          <w:rFonts w:ascii="微軟正黑體" w:eastAsia="微軟正黑體" w:hAnsi="微軟正黑體" w:hint="eastAsia"/>
          <w:spacing w:val="-25"/>
          <w:sz w:val="20"/>
          <w:szCs w:val="20"/>
        </w:rPr>
        <w:t xml:space="preserve">    </w:t>
      </w:r>
      <w:r w:rsidRPr="00176BC6">
        <w:rPr>
          <w:rFonts w:ascii="微軟正黑體" w:eastAsia="微軟正黑體" w:hAnsi="微軟正黑體"/>
          <w:spacing w:val="-9"/>
          <w:sz w:val="20"/>
          <w:szCs w:val="20"/>
        </w:rPr>
        <w:t xml:space="preserve"> </w:t>
      </w:r>
      <w:r w:rsidRPr="00176BC6">
        <w:rPr>
          <w:rFonts w:ascii="微軟正黑體" w:eastAsia="微軟正黑體" w:hAnsi="微軟正黑體"/>
          <w:spacing w:val="-25"/>
          <w:sz w:val="20"/>
          <w:szCs w:val="20"/>
        </w:rPr>
        <w:t>月</w:t>
      </w:r>
      <w:r w:rsidRPr="00176BC6">
        <w:rPr>
          <w:rFonts w:ascii="微軟正黑體" w:eastAsia="微軟正黑體" w:hAnsi="微軟正黑體"/>
          <w:spacing w:val="-25"/>
          <w:sz w:val="20"/>
          <w:szCs w:val="20"/>
        </w:rPr>
        <w:t xml:space="preserve"> </w:t>
      </w:r>
      <w:r w:rsidR="00DA5008">
        <w:rPr>
          <w:rFonts w:ascii="微軟正黑體" w:eastAsia="微軟正黑體" w:hAnsi="微軟正黑體" w:hint="eastAsia"/>
          <w:spacing w:val="-25"/>
          <w:sz w:val="20"/>
          <w:szCs w:val="20"/>
        </w:rPr>
        <w:t xml:space="preserve">   </w:t>
      </w:r>
      <w:r w:rsidRPr="00176BC6">
        <w:rPr>
          <w:rFonts w:ascii="微軟正黑體" w:eastAsia="微軟正黑體" w:hAnsi="微軟正黑體"/>
          <w:spacing w:val="-4"/>
          <w:sz w:val="20"/>
          <w:szCs w:val="20"/>
        </w:rPr>
        <w:t xml:space="preserve"> </w:t>
      </w:r>
      <w:r w:rsidRPr="00176BC6">
        <w:rPr>
          <w:rFonts w:ascii="微軟正黑體" w:eastAsia="微軟正黑體" w:hAnsi="微軟正黑體"/>
          <w:sz w:val="20"/>
          <w:szCs w:val="20"/>
        </w:rPr>
        <w:t>日行政會議通過；</w:t>
      </w:r>
      <w:r w:rsidR="00DA5008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Pr="00176BC6">
        <w:rPr>
          <w:rFonts w:ascii="微軟正黑體" w:eastAsia="微軟正黑體" w:hAnsi="微軟正黑體"/>
          <w:spacing w:val="-25"/>
          <w:sz w:val="20"/>
          <w:szCs w:val="20"/>
        </w:rPr>
        <w:t>年</w:t>
      </w:r>
      <w:r w:rsidR="00DA5008">
        <w:rPr>
          <w:rFonts w:ascii="微軟正黑體" w:eastAsia="微軟正黑體" w:hAnsi="微軟正黑體" w:hint="eastAsia"/>
          <w:spacing w:val="-25"/>
          <w:sz w:val="20"/>
          <w:szCs w:val="20"/>
        </w:rPr>
        <w:t xml:space="preserve">    </w:t>
      </w:r>
      <w:r w:rsidRPr="00176BC6">
        <w:rPr>
          <w:rFonts w:ascii="微軟正黑體" w:eastAsia="微軟正黑體" w:hAnsi="微軟正黑體"/>
          <w:spacing w:val="-24"/>
          <w:sz w:val="20"/>
          <w:szCs w:val="20"/>
        </w:rPr>
        <w:t>月</w:t>
      </w:r>
      <w:r w:rsidR="00DA5008">
        <w:rPr>
          <w:rFonts w:ascii="微軟正黑體" w:eastAsia="微軟正黑體" w:hAnsi="微軟正黑體" w:hint="eastAsia"/>
          <w:spacing w:val="-24"/>
          <w:sz w:val="20"/>
          <w:szCs w:val="20"/>
        </w:rPr>
        <w:t xml:space="preserve">    </w:t>
      </w:r>
      <w:r w:rsidRPr="00176BC6">
        <w:rPr>
          <w:rFonts w:ascii="微軟正黑體" w:eastAsia="微軟正黑體" w:hAnsi="微軟正黑體"/>
          <w:spacing w:val="-2"/>
          <w:sz w:val="20"/>
          <w:szCs w:val="20"/>
        </w:rPr>
        <w:t>日教育部核備</w:t>
      </w:r>
    </w:p>
    <w:p w:rsidR="00176BC6" w:rsidRPr="00176BC6" w:rsidRDefault="00176BC6" w:rsidP="00176BC6">
      <w:pPr>
        <w:spacing w:line="360" w:lineRule="exact"/>
        <w:ind w:right="281"/>
        <w:jc w:val="right"/>
        <w:rPr>
          <w:rFonts w:ascii="微軟正黑體" w:eastAsia="微軟正黑體" w:hAnsi="微軟正黑體" w:hint="eastAsia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本校編制內之專任教師、職員、工友薪級之核敘，依本辦法之</w:t>
      </w:r>
      <w:r w:rsidRPr="00176BC6">
        <w:rPr>
          <w:rFonts w:ascii="微軟正黑體" w:eastAsia="微軟正黑體" w:hAnsi="微軟正黑體"/>
          <w:spacing w:val="-4"/>
          <w:sz w:val="24"/>
          <w:szCs w:val="24"/>
        </w:rPr>
        <w:t>規定辦理。</w:t>
      </w:r>
    </w:p>
    <w:p w:rsidR="00176BC6" w:rsidRPr="00176BC6" w:rsidRDefault="00176BC6" w:rsidP="00176BC6">
      <w:pPr>
        <w:pStyle w:val="a3"/>
        <w:spacing w:line="360" w:lineRule="exact"/>
        <w:ind w:left="993" w:right="281" w:firstLine="0"/>
        <w:rPr>
          <w:rFonts w:ascii="微軟正黑體" w:eastAsia="微軟正黑體" w:hAnsi="微軟正黑體"/>
          <w:sz w:val="24"/>
          <w:szCs w:val="24"/>
        </w:rPr>
      </w:pPr>
    </w:p>
    <w:p w:rsidR="003F45E8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本校教師、職員薪級分為三十六級（含年功薪共三十九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個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額），其薪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級表如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附表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「</w:t>
      </w:r>
      <w:r w:rsidR="00176BC6" w:rsidRPr="00176BC6">
        <w:rPr>
          <w:rFonts w:ascii="微軟正黑體" w:eastAsia="微軟正黑體" w:hAnsi="微軟正黑體"/>
          <w:spacing w:val="-2"/>
          <w:sz w:val="24"/>
          <w:szCs w:val="24"/>
        </w:rPr>
        <w:t>復興藝術實驗學院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校長、教師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薪級表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」、附表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二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「</w:t>
      </w:r>
      <w:r w:rsidR="00176BC6" w:rsidRPr="00176BC6">
        <w:rPr>
          <w:rFonts w:ascii="微軟正黑體" w:eastAsia="微軟正黑體" w:hAnsi="微軟正黑體"/>
          <w:spacing w:val="-2"/>
          <w:sz w:val="24"/>
          <w:szCs w:val="24"/>
        </w:rPr>
        <w:t>復興藝術實驗學院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職員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薪級表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」。</w:t>
      </w:r>
    </w:p>
    <w:p w:rsidR="00176BC6" w:rsidRPr="00176BC6" w:rsidRDefault="00176BC6" w:rsidP="00176BC6">
      <w:pPr>
        <w:pStyle w:val="a3"/>
        <w:spacing w:line="360" w:lineRule="exact"/>
        <w:ind w:left="0" w:right="281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F45E8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校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初任教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師，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以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自所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聘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職務最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低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敘為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原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則；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曾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任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校或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國內專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科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以上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學校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校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、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專任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合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格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師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、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專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業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技術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人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員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及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研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究人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員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，與現職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務等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級相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當且服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成績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優良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之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編制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內、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非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編制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內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年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資，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得每滿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學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年提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敘一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計提敘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至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所聘職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等級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最高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年功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，已辦理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退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休或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資遣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之年資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以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不予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提敘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為原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則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3F45E8" w:rsidRDefault="006E2DC7" w:rsidP="00176BC6">
      <w:pPr>
        <w:pStyle w:val="a3"/>
        <w:spacing w:line="360" w:lineRule="exact"/>
        <w:ind w:leftChars="451" w:left="992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前項年資之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計，不包括帶職帶薪、留職停薪及教師休假研究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期間之年資。</w:t>
      </w:r>
    </w:p>
    <w:p w:rsidR="00176BC6" w:rsidRPr="00176BC6" w:rsidRDefault="00176BC6" w:rsidP="00176BC6">
      <w:pPr>
        <w:pStyle w:val="a3"/>
        <w:spacing w:line="360" w:lineRule="exact"/>
        <w:ind w:leftChars="451" w:left="992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初任教師曾任大學辦理國外學歷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認辦法所定參考名冊或香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港澳門學歷檢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覈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及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認辦法所定認可名冊所列之國外與港澳地區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大專校院專任教師、專業技術人員及研究人員，與現職職務等級相當且服務成績優良之年資，經校教師評審委員會審查通過後，得每滿一年提敘一級，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計提敘薪級至所聘職務等級最高年功薪，已辦理退休或資遣之年資以不予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提敘為原則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，且不得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採計帶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職帶薪、留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職停薪及教師休假研究期間之年資。</w:t>
      </w:r>
    </w:p>
    <w:p w:rsidR="002D3702" w:rsidRDefault="002D3702" w:rsidP="00176BC6">
      <w:pPr>
        <w:pStyle w:val="a3"/>
        <w:spacing w:line="360" w:lineRule="exact"/>
        <w:ind w:leftChars="451" w:left="992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2D3702" w:rsidRDefault="006E2DC7" w:rsidP="00176BC6">
      <w:pPr>
        <w:pStyle w:val="a3"/>
        <w:spacing w:line="360" w:lineRule="exact"/>
        <w:ind w:leftChars="451" w:left="992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除前項規定外，初任教師不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計其他國內外私人機構之年資。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教師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若於敘定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薪級一個月後，始申請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提敘者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，應經教師評審委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員會審議通過後，送人事室辦理敘薪，並自審定之日改敘生效。</w:t>
      </w:r>
    </w:p>
    <w:p w:rsidR="002D3702" w:rsidRDefault="002D3702" w:rsidP="00176BC6">
      <w:pPr>
        <w:pStyle w:val="a3"/>
        <w:spacing w:line="360" w:lineRule="exact"/>
        <w:ind w:leftChars="451" w:left="992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Default="006E2DC7" w:rsidP="002D3702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本校初任職員，以依</w:t>
      </w:r>
      <w:r w:rsidRPr="002D3702">
        <w:rPr>
          <w:rFonts w:ascii="微軟正黑體" w:eastAsia="微軟正黑體" w:hAnsi="微軟正黑體"/>
          <w:color w:val="FF0000"/>
          <w:spacing w:val="-2"/>
          <w:sz w:val="24"/>
          <w:szCs w:val="24"/>
        </w:rPr>
        <w:t>學歷</w:t>
      </w:r>
      <w:proofErr w:type="gramStart"/>
      <w:r w:rsidRPr="002D3702">
        <w:rPr>
          <w:rFonts w:ascii="微軟正黑體" w:eastAsia="微軟正黑體" w:hAnsi="微軟正黑體"/>
          <w:color w:val="FF0000"/>
          <w:spacing w:val="-2"/>
          <w:sz w:val="24"/>
          <w:szCs w:val="24"/>
        </w:rPr>
        <w:t>起敘為</w:t>
      </w:r>
      <w:proofErr w:type="gramEnd"/>
      <w:r w:rsidRPr="002D3702">
        <w:rPr>
          <w:rFonts w:ascii="微軟正黑體" w:eastAsia="微軟正黑體" w:hAnsi="微軟正黑體"/>
          <w:color w:val="FF0000"/>
          <w:spacing w:val="-2"/>
          <w:sz w:val="24"/>
          <w:szCs w:val="24"/>
        </w:rPr>
        <w:t>原則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，其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薪級核支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標準如附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表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三「</w:t>
      </w:r>
      <w:r w:rsidR="00176BC6" w:rsidRPr="00176BC6">
        <w:rPr>
          <w:rFonts w:ascii="微軟正黑體" w:eastAsia="微軟正黑體" w:hAnsi="微軟正黑體"/>
          <w:spacing w:val="-2"/>
          <w:sz w:val="24"/>
          <w:szCs w:val="24"/>
        </w:rPr>
        <w:t>復興藝術實驗學院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職員敘薪標準表」；曾任本校或國內專科以上學校專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任合格教師、專業技術人員、研究人員及職員，與現職職務等級相當且服務成績優良之編制內、非編制內年資，得每滿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學年提敘一級，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計提敘薪級至所聘職務等級最高年功薪，已辦理退休或資遣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之年資以不予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提敘為原則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3F45E8" w:rsidRDefault="006E2DC7" w:rsidP="002D3702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前項年資之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計，不包括帶職帶薪、留職停薪及教師休假研究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期間之年資。</w:t>
      </w:r>
    </w:p>
    <w:p w:rsidR="002D3702" w:rsidRPr="00176BC6" w:rsidRDefault="002D3702" w:rsidP="002D3702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本校初任工友，依學歷自最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低級起支為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原則，其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餉級核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支標準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如附表四「</w:t>
      </w:r>
      <w:r w:rsidR="00176BC6" w:rsidRPr="00176BC6">
        <w:rPr>
          <w:rFonts w:ascii="微軟正黑體" w:eastAsia="微軟正黑體" w:hAnsi="微軟正黑體"/>
          <w:spacing w:val="-2"/>
          <w:sz w:val="24"/>
          <w:szCs w:val="24"/>
        </w:rPr>
        <w:t>復興藝術實驗學院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工友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工餉核支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標準表」。曾任本校與現職職務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等級相當且服務成績優良之專任工作年資，得按學年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計提敘至本職最高年功餉。</w:t>
      </w:r>
    </w:p>
    <w:p w:rsidR="003F45E8" w:rsidRDefault="006E2DC7" w:rsidP="002D3702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前項年資之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計，不包括留職停薪期間之年資。</w:t>
      </w:r>
    </w:p>
    <w:p w:rsidR="002D3702" w:rsidRPr="00176BC6" w:rsidRDefault="002D3702" w:rsidP="002D3702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教師因升等或取得較高學位改聘者，如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其原支薪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級未達改聘職務之最低級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lastRenderedPageBreak/>
        <w:t>者，得自該職務之最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低級起敘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2D3702" w:rsidRPr="00176BC6" w:rsidRDefault="002D3702" w:rsidP="002D3702">
      <w:pPr>
        <w:pStyle w:val="a3"/>
        <w:spacing w:line="360" w:lineRule="exact"/>
        <w:ind w:left="993" w:right="281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教師、職員、工友應於到職後五日內，填具履歷表、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檢齊學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經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 xml:space="preserve"> 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歷證件，送人事室辦理</w:t>
      </w:r>
      <w:bookmarkStart w:id="0" w:name="_GoBack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敘薪</w:t>
      </w:r>
      <w:bookmarkEnd w:id="0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事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宜。</w:t>
      </w:r>
    </w:p>
    <w:p w:rsidR="003F45E8" w:rsidRDefault="006E2DC7" w:rsidP="00DA5008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教師持國外學歷者，應再辦理</w:t>
      </w:r>
      <w:r w:rsidRPr="00E95622">
        <w:rPr>
          <w:rFonts w:ascii="微軟正黑體" w:eastAsia="微軟正黑體" w:hAnsi="微軟正黑體"/>
          <w:color w:val="FF0000"/>
          <w:spacing w:val="-2"/>
          <w:sz w:val="24"/>
          <w:szCs w:val="24"/>
        </w:rPr>
        <w:t>學歷查證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；持國外任教證明文件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者，應經我國駐外使領館或指定機構驗證，其驗證有困難者，得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採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認原任職機構負責人或部門主管簽署之證明文件。</w:t>
      </w:r>
    </w:p>
    <w:p w:rsidR="00DA5008" w:rsidRPr="00176BC6" w:rsidRDefault="00DA5008" w:rsidP="00DA5008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教師、職員、工友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起薪改支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，依照下列規定辦理：</w:t>
      </w:r>
    </w:p>
    <w:p w:rsidR="003F45E8" w:rsidRPr="00176BC6" w:rsidRDefault="006E2DC7" w:rsidP="00DA5008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起薪：教師、職員及工友均自實際到職之日起薪。</w:t>
      </w:r>
    </w:p>
    <w:p w:rsidR="003F45E8" w:rsidRDefault="006E2DC7" w:rsidP="00DA5008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改敘：因取得新資格申請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改敘者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，均自核定改敘之日起改支。</w:t>
      </w:r>
    </w:p>
    <w:p w:rsidR="00DA5008" w:rsidRPr="00176BC6" w:rsidRDefault="00DA5008" w:rsidP="00DA5008">
      <w:pPr>
        <w:pStyle w:val="a3"/>
        <w:spacing w:line="360" w:lineRule="exact"/>
        <w:ind w:leftChars="450" w:left="990" w:rightChars="128" w:right="282" w:firstLine="1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本校職員因高階職務調降為低階職務，其薪級已超過低階職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務之最高年功薪時，准予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暫支原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薪級。職員辦理退撫最後在職薪額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低於暫支薪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額時，其退撫給與差額由學校補足。</w:t>
      </w:r>
    </w:p>
    <w:p w:rsidR="00DA5008" w:rsidRPr="00176BC6" w:rsidRDefault="00DA5008" w:rsidP="00DA5008">
      <w:pPr>
        <w:pStyle w:val="a3"/>
        <w:spacing w:line="360" w:lineRule="exact"/>
        <w:ind w:left="993" w:right="281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F45E8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本辦法未盡詳盡之處，悉依教育部頒「私立專科以上學校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教職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員工敘薪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原則」辦理。</w:t>
      </w:r>
    </w:p>
    <w:p w:rsidR="00DA5008" w:rsidRPr="00176BC6" w:rsidRDefault="00DA5008" w:rsidP="00DA5008">
      <w:pPr>
        <w:pStyle w:val="a3"/>
        <w:spacing w:line="360" w:lineRule="exact"/>
        <w:ind w:left="0" w:right="281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F45E8" w:rsidRPr="00176BC6" w:rsidRDefault="006E2DC7" w:rsidP="00176BC6">
      <w:pPr>
        <w:pStyle w:val="a3"/>
        <w:numPr>
          <w:ilvl w:val="0"/>
          <w:numId w:val="2"/>
        </w:numPr>
        <w:spacing w:line="360" w:lineRule="exact"/>
        <w:ind w:left="993" w:right="281" w:hanging="993"/>
        <w:rPr>
          <w:rFonts w:ascii="微軟正黑體" w:eastAsia="微軟正黑體" w:hAnsi="微軟正黑體"/>
          <w:spacing w:val="-2"/>
          <w:sz w:val="24"/>
          <w:szCs w:val="24"/>
        </w:rPr>
      </w:pPr>
      <w:r w:rsidRPr="00176BC6">
        <w:rPr>
          <w:rFonts w:ascii="微軟正黑體" w:eastAsia="微軟正黑體" w:hAnsi="微軟正黑體"/>
          <w:spacing w:val="-2"/>
          <w:sz w:val="24"/>
          <w:szCs w:val="24"/>
        </w:rPr>
        <w:t>本辦法經行政會議及董事會通過，報請「財團法人中華民國私</w:t>
      </w:r>
      <w:r w:rsidRPr="00176BC6">
        <w:rPr>
          <w:rFonts w:ascii="微軟正黑體" w:eastAsia="微軟正黑體" w:hAnsi="微軟正黑體"/>
          <w:spacing w:val="-2"/>
          <w:sz w:val="24"/>
          <w:szCs w:val="24"/>
        </w:rPr>
        <w:t>立學校教職員退休撫</w:t>
      </w:r>
      <w:proofErr w:type="gramStart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卹</w:t>
      </w:r>
      <w:proofErr w:type="gramEnd"/>
      <w:r w:rsidRPr="00176BC6">
        <w:rPr>
          <w:rFonts w:ascii="微軟正黑體" w:eastAsia="微軟正黑體" w:hAnsi="微軟正黑體"/>
          <w:spacing w:val="-2"/>
          <w:sz w:val="24"/>
          <w:szCs w:val="24"/>
        </w:rPr>
        <w:t>離職資遣儲金管理委員會」審核後發布施行，修正時亦同。</w:t>
      </w:r>
    </w:p>
    <w:sectPr w:rsidR="003F45E8" w:rsidRPr="00176BC6">
      <w:footerReference w:type="default" r:id="rId7"/>
      <w:pgSz w:w="11910" w:h="16840"/>
      <w:pgMar w:top="1120" w:right="1133" w:bottom="880" w:left="1417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C7" w:rsidRDefault="006E2DC7">
      <w:r>
        <w:separator/>
      </w:r>
    </w:p>
  </w:endnote>
  <w:endnote w:type="continuationSeparator" w:id="0">
    <w:p w:rsidR="006E2DC7" w:rsidRDefault="006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E8" w:rsidRDefault="006E2DC7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3697859</wp:posOffset>
              </wp:positionH>
              <wp:positionV relativeFrom="page">
                <wp:posOffset>10118455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45E8" w:rsidRDefault="006E2DC7">
                          <w:pPr>
                            <w:pStyle w:val="a3"/>
                            <w:spacing w:before="9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E95622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15pt;margin-top:796.75pt;width:14.0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" filled="f" stroked="f">
              <v:path arrowok="t"/>
              <v:textbox inset="0,0,0,0">
                <w:txbxContent>
                  <w:p w:rsidR="003F45E8" w:rsidRDefault="006E2DC7">
                    <w:pPr>
                      <w:pStyle w:val="a3"/>
                      <w:spacing w:before="9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E95622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C7" w:rsidRDefault="006E2DC7">
      <w:r>
        <w:separator/>
      </w:r>
    </w:p>
  </w:footnote>
  <w:footnote w:type="continuationSeparator" w:id="0">
    <w:p w:rsidR="006E2DC7" w:rsidRDefault="006E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BE"/>
    <w:multiLevelType w:val="hybridMultilevel"/>
    <w:tmpl w:val="0540D848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7CCD"/>
    <w:multiLevelType w:val="hybridMultilevel"/>
    <w:tmpl w:val="29D67826"/>
    <w:lvl w:ilvl="0" w:tplc="B2D4F960">
      <w:start w:val="1"/>
      <w:numFmt w:val="chineseCountingThousand"/>
      <w:lvlText w:val="%1、"/>
      <w:lvlJc w:val="left"/>
      <w:pPr>
        <w:ind w:left="2203" w:hanging="56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4"/>
        <w:sz w:val="26"/>
        <w:szCs w:val="26"/>
        <w:lang w:val="en-US" w:eastAsia="zh-TW" w:bidi="ar-SA"/>
      </w:rPr>
    </w:lvl>
    <w:lvl w:ilvl="1" w:tplc="98707AF4">
      <w:numFmt w:val="bullet"/>
      <w:lvlText w:val="•"/>
      <w:lvlJc w:val="left"/>
      <w:pPr>
        <w:ind w:left="2915" w:hanging="563"/>
      </w:pPr>
      <w:rPr>
        <w:rFonts w:hint="default"/>
        <w:lang w:val="en-US" w:eastAsia="zh-TW" w:bidi="ar-SA"/>
      </w:rPr>
    </w:lvl>
    <w:lvl w:ilvl="2" w:tplc="7026FE80">
      <w:numFmt w:val="bullet"/>
      <w:lvlText w:val="•"/>
      <w:lvlJc w:val="left"/>
      <w:pPr>
        <w:ind w:left="3631" w:hanging="563"/>
      </w:pPr>
      <w:rPr>
        <w:rFonts w:hint="default"/>
        <w:lang w:val="en-US" w:eastAsia="zh-TW" w:bidi="ar-SA"/>
      </w:rPr>
    </w:lvl>
    <w:lvl w:ilvl="3" w:tplc="1D3C0AA8">
      <w:numFmt w:val="bullet"/>
      <w:lvlText w:val="•"/>
      <w:lvlJc w:val="left"/>
      <w:pPr>
        <w:ind w:left="4346" w:hanging="563"/>
      </w:pPr>
      <w:rPr>
        <w:rFonts w:hint="default"/>
        <w:lang w:val="en-US" w:eastAsia="zh-TW" w:bidi="ar-SA"/>
      </w:rPr>
    </w:lvl>
    <w:lvl w:ilvl="4" w:tplc="3B8CF112">
      <w:numFmt w:val="bullet"/>
      <w:lvlText w:val="•"/>
      <w:lvlJc w:val="left"/>
      <w:pPr>
        <w:ind w:left="5062" w:hanging="563"/>
      </w:pPr>
      <w:rPr>
        <w:rFonts w:hint="default"/>
        <w:lang w:val="en-US" w:eastAsia="zh-TW" w:bidi="ar-SA"/>
      </w:rPr>
    </w:lvl>
    <w:lvl w:ilvl="5" w:tplc="DDA6BE82">
      <w:numFmt w:val="bullet"/>
      <w:lvlText w:val="•"/>
      <w:lvlJc w:val="left"/>
      <w:pPr>
        <w:ind w:left="5778" w:hanging="563"/>
      </w:pPr>
      <w:rPr>
        <w:rFonts w:hint="default"/>
        <w:lang w:val="en-US" w:eastAsia="zh-TW" w:bidi="ar-SA"/>
      </w:rPr>
    </w:lvl>
    <w:lvl w:ilvl="6" w:tplc="114C1720">
      <w:numFmt w:val="bullet"/>
      <w:lvlText w:val="•"/>
      <w:lvlJc w:val="left"/>
      <w:pPr>
        <w:ind w:left="6493" w:hanging="563"/>
      </w:pPr>
      <w:rPr>
        <w:rFonts w:hint="default"/>
        <w:lang w:val="en-US" w:eastAsia="zh-TW" w:bidi="ar-SA"/>
      </w:rPr>
    </w:lvl>
    <w:lvl w:ilvl="7" w:tplc="95A2DA64">
      <w:numFmt w:val="bullet"/>
      <w:lvlText w:val="•"/>
      <w:lvlJc w:val="left"/>
      <w:pPr>
        <w:ind w:left="7209" w:hanging="563"/>
      </w:pPr>
      <w:rPr>
        <w:rFonts w:hint="default"/>
        <w:lang w:val="en-US" w:eastAsia="zh-TW" w:bidi="ar-SA"/>
      </w:rPr>
    </w:lvl>
    <w:lvl w:ilvl="8" w:tplc="CC402AC2">
      <w:numFmt w:val="bullet"/>
      <w:lvlText w:val="•"/>
      <w:lvlJc w:val="left"/>
      <w:pPr>
        <w:ind w:left="7925" w:hanging="563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E8"/>
    <w:rsid w:val="00176BC6"/>
    <w:rsid w:val="002D3702"/>
    <w:rsid w:val="003F45E8"/>
    <w:rsid w:val="006E2DC7"/>
    <w:rsid w:val="00DA5008"/>
    <w:rsid w:val="00E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DE81"/>
  <w15:docId w15:val="{AE144346-0BB0-41E1-AF2E-044CA0BB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02" w:lineRule="exact"/>
      <w:ind w:right="280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 w:hanging="11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7"/>
      <w:ind w:left="2202" w:hanging="5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3</cp:revision>
  <dcterms:created xsi:type="dcterms:W3CDTF">2026-05-14T06:46:00Z</dcterms:created>
  <dcterms:modified xsi:type="dcterms:W3CDTF">2026-05-14T07:22:00Z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2019-12-03T00:00:00Z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2016</vt:lpwstr>
  </property>
</Properties>
</file>