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42AA" w14:textId="6A8991E2" w:rsidR="00C12A0B" w:rsidRPr="00C12A0B" w:rsidRDefault="00C12A0B" w:rsidP="00C12A0B">
      <w:pPr>
        <w:jc w:val="center"/>
        <w:rPr>
          <w:rFonts w:ascii="Times New Roman" w:eastAsia="標楷體" w:hAnsi="Times New Roman" w:cs="Times New Roman"/>
          <w:b/>
          <w:spacing w:val="-1"/>
          <w:sz w:val="32"/>
          <w:szCs w:val="32"/>
          <w:lang w:eastAsia="zh-TW"/>
        </w:rPr>
      </w:pPr>
      <w:r w:rsidRPr="00C12A0B">
        <w:rPr>
          <w:rFonts w:ascii="Times New Roman" w:eastAsia="標楷體" w:hAnsi="Times New Roman" w:cs="Times New Roman" w:hint="eastAsia"/>
          <w:b/>
          <w:spacing w:val="-1"/>
          <w:sz w:val="32"/>
          <w:szCs w:val="32"/>
          <w:lang w:eastAsia="zh-HK"/>
        </w:rPr>
        <w:t>復興藝術實驗</w:t>
      </w:r>
      <w:r w:rsidRPr="00C12A0B">
        <w:rPr>
          <w:rFonts w:ascii="Times New Roman" w:eastAsia="標楷體" w:hAnsi="Times New Roman" w:cs="Times New Roman" w:hint="eastAsia"/>
          <w:b/>
          <w:spacing w:val="-1"/>
          <w:sz w:val="32"/>
          <w:szCs w:val="32"/>
          <w:lang w:eastAsia="zh-TW"/>
        </w:rPr>
        <w:t>學院</w:t>
      </w:r>
    </w:p>
    <w:p w14:paraId="0C2C1E05" w14:textId="77777777" w:rsidR="008E1E8C" w:rsidRDefault="00C12A0B" w:rsidP="008E1E8C">
      <w:pPr>
        <w:pStyle w:val="2"/>
        <w:ind w:left="0"/>
        <w:rPr>
          <w:rFonts w:ascii="Times New Roman" w:eastAsia="標楷體" w:hAnsi="Times New Roman" w:cs="Times New Roman"/>
          <w:w w:val="95"/>
          <w:lang w:eastAsia="zh-HK"/>
        </w:rPr>
      </w:pPr>
      <w:r>
        <w:rPr>
          <w:rFonts w:ascii="Times New Roman" w:eastAsia="標楷體" w:hAnsi="Times New Roman" w:cs="Times New Roman" w:hint="eastAsia"/>
          <w:w w:val="95"/>
          <w:lang w:eastAsia="zh-TW"/>
        </w:rPr>
        <w:t xml:space="preserve">　　　　　　　　　</w:t>
      </w:r>
      <w:r w:rsidR="00253092" w:rsidRPr="00A477A0">
        <w:rPr>
          <w:rFonts w:ascii="Times New Roman" w:eastAsia="標楷體" w:hAnsi="Times New Roman" w:cs="Times New Roman"/>
          <w:w w:val="95"/>
          <w:lang w:eastAsia="zh-TW"/>
        </w:rPr>
        <w:t>預算編審與執行處理</w:t>
      </w:r>
      <w:r w:rsidR="008E1E8C">
        <w:rPr>
          <w:rFonts w:ascii="Times New Roman" w:eastAsia="標楷體" w:hAnsi="Times New Roman" w:cs="Times New Roman" w:hint="eastAsia"/>
          <w:w w:val="95"/>
          <w:lang w:eastAsia="zh-HK"/>
        </w:rPr>
        <w:t>辦</w:t>
      </w:r>
      <w:r w:rsidR="002A0C93">
        <w:rPr>
          <w:rFonts w:ascii="Times New Roman" w:eastAsia="標楷體" w:hAnsi="Times New Roman" w:cs="Times New Roman" w:hint="eastAsia"/>
          <w:w w:val="95"/>
          <w:lang w:eastAsia="zh-HK"/>
        </w:rPr>
        <w:t>法</w:t>
      </w:r>
    </w:p>
    <w:p w14:paraId="13886A61" w14:textId="77777777" w:rsidR="00253092" w:rsidRDefault="008E1E8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8E1E8C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HK"/>
        </w:rPr>
        <w:t>第一條</w:t>
      </w:r>
      <w:r w:rsidR="00253092" w:rsidRPr="008E1E8C">
        <w:rPr>
          <w:rFonts w:ascii="Times New Roman" w:eastAsia="標楷體" w:hAnsi="Times New Roman" w:cs="Times New Roman"/>
          <w:b w:val="0"/>
          <w:bCs w:val="0"/>
          <w:sz w:val="24"/>
          <w:szCs w:val="24"/>
          <w:lang w:eastAsia="zh-TW"/>
        </w:rPr>
        <w:t xml:space="preserve"> </w:t>
      </w:r>
      <w:r w:rsidR="00253092" w:rsidRPr="002B33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有關預算編審與執行，除法令另有規定外，悉依本準則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之規定辦理。</w:t>
      </w:r>
    </w:p>
    <w:p w14:paraId="7365C66E" w14:textId="77777777" w:rsidR="00253092" w:rsidRDefault="008E1E8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第二條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學院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之一切收入及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費用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均應編入預算。</w:t>
      </w:r>
    </w:p>
    <w:p w14:paraId="227A56D5" w14:textId="77777777" w:rsidR="008E1E8C" w:rsidRDefault="008E1E8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第三條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學院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之會計年度與學年度一致，於每年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8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日開始，至次年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7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</w:t>
      </w:r>
    </w:p>
    <w:p w14:paraId="4A62005F" w14:textId="77777777" w:rsidR="00253092" w:rsidRDefault="00253092" w:rsidP="00D61E5B">
      <w:pPr>
        <w:pStyle w:val="2"/>
        <w:ind w:left="0" w:firstLineChars="400" w:firstLine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31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日終了，以年度開始日之中華民國紀元年次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為其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會計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年度名稱。</w:t>
      </w:r>
    </w:p>
    <w:p w14:paraId="2CB511EE" w14:textId="77777777" w:rsidR="00D61E5B" w:rsidRDefault="008E1E8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第四條</w:t>
      </w:r>
      <w:r w:rsidR="00D61E5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本校預算，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原則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每一會計年度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編製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一次。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期中若需大幅增減預算時，應</w:t>
      </w:r>
    </w:p>
    <w:p w14:paraId="397DB400" w14:textId="77777777" w:rsidR="00253092" w:rsidRDefault="00D61E5B" w:rsidP="00D61E5B">
      <w:pPr>
        <w:pStyle w:val="2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經董事會通過。</w:t>
      </w:r>
    </w:p>
    <w:p w14:paraId="266F23FE" w14:textId="77777777" w:rsidR="00253092" w:rsidRDefault="00D61E5B" w:rsidP="00D61E5B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第五條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本校收支預算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依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性質分為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經常門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及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資本門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253092"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10C47F66" w14:textId="77777777" w:rsidR="00D61E5B" w:rsidRDefault="00253092" w:rsidP="008E1E8C">
      <w:pPr>
        <w:pStyle w:val="2"/>
        <w:ind w:left="15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購置固定資產，其取得之金額單價在新台幣</w:t>
      </w:r>
      <w:r w:rsidR="00D61E5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萬元（含）以上，且其</w:t>
      </w:r>
    </w:p>
    <w:p w14:paraId="5D582167" w14:textId="77777777" w:rsidR="00253092" w:rsidRDefault="00253092" w:rsidP="00D61E5B">
      <w:pPr>
        <w:pStyle w:val="2"/>
        <w:ind w:left="158"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耐用年數在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年以上者，得以其成本列作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資本門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支出」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190652D9" w14:textId="77777777" w:rsidR="00D61E5B" w:rsidRDefault="00253092" w:rsidP="008E1E8C">
      <w:pPr>
        <w:pStyle w:val="2"/>
        <w:ind w:left="15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</w:t>
      </w:r>
      <w:r w:rsidR="00D61E5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其耐用年限超過二年，而支出金額未超過新台幣</w:t>
      </w:r>
      <w:r w:rsidR="00D61E5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萬元者，得以其成</w:t>
      </w:r>
    </w:p>
    <w:p w14:paraId="22A50DEC" w14:textId="77777777" w:rsidR="00253092" w:rsidRDefault="00253092" w:rsidP="00D61E5B">
      <w:pPr>
        <w:pStyle w:val="2"/>
        <w:ind w:left="158"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本列為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「經常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門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支出」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3113EE54" w14:textId="77777777" w:rsidR="00D61E5B" w:rsidRDefault="00253092" w:rsidP="008E1E8C">
      <w:pPr>
        <w:pStyle w:val="2"/>
        <w:ind w:left="15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但整批購置大量器具，每件金額雖未超過新台幣</w:t>
      </w:r>
      <w:r w:rsidR="00D61E5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萬元，其耐用年限</w:t>
      </w:r>
    </w:p>
    <w:p w14:paraId="64AACCF4" w14:textId="77777777" w:rsidR="00253092" w:rsidRDefault="00253092" w:rsidP="00D61E5B">
      <w:pPr>
        <w:pStyle w:val="2"/>
        <w:ind w:left="158"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超過二年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者，仍應列作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資本門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支出」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</w:p>
    <w:p w14:paraId="07858E93" w14:textId="77777777" w:rsidR="00253092" w:rsidRDefault="00253092" w:rsidP="008E1E8C">
      <w:pPr>
        <w:pStyle w:val="2"/>
        <w:ind w:left="15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所購置之圖書，皆列為財產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29BB6064" w14:textId="77777777" w:rsidR="00D61E5B" w:rsidRDefault="00253092" w:rsidP="008E1E8C">
      <w:pPr>
        <w:pStyle w:val="2"/>
        <w:ind w:left="15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2B33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所購置之雜誌，經認定具有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典藏價值</w:t>
      </w:r>
      <w:r w:rsidRPr="00A11108">
        <w:rPr>
          <w:rFonts w:ascii="Times New Roman" w:eastAsia="標楷體" w:hAnsi="Times New Roman" w:cs="Times New Roman"/>
          <w:b w:val="0"/>
          <w:spacing w:val="-24"/>
          <w:sz w:val="24"/>
          <w:szCs w:val="24"/>
          <w:lang w:eastAsia="zh-TW"/>
        </w:rPr>
        <w:t>者，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列為財</w:t>
      </w:r>
      <w:r w:rsidRPr="00A11108">
        <w:rPr>
          <w:rFonts w:ascii="Times New Roman" w:eastAsia="標楷體" w:hAnsi="Times New Roman" w:cs="Times New Roman"/>
          <w:b w:val="0"/>
          <w:spacing w:val="-24"/>
          <w:sz w:val="24"/>
          <w:szCs w:val="24"/>
          <w:lang w:eastAsia="zh-TW"/>
        </w:rPr>
        <w:t>產，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否則</w:t>
      </w:r>
      <w:r w:rsidRPr="00A11108">
        <w:rPr>
          <w:rFonts w:ascii="Times New Roman" w:eastAsia="標楷體" w:hAnsi="Times New Roman" w:cs="Times New Roman"/>
          <w:b w:val="0"/>
          <w:spacing w:val="-51"/>
          <w:sz w:val="24"/>
          <w:szCs w:val="24"/>
          <w:lang w:eastAsia="zh-TW"/>
        </w:rPr>
        <w:t>依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「財物標準分</w:t>
      </w:r>
    </w:p>
    <w:p w14:paraId="146D9EA5" w14:textId="77777777" w:rsidR="00253092" w:rsidRDefault="00253092" w:rsidP="00D61E5B">
      <w:pPr>
        <w:pStyle w:val="2"/>
        <w:ind w:left="158"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類</w:t>
      </w:r>
      <w:r w:rsidRPr="00A11108">
        <w:rPr>
          <w:rFonts w:ascii="Times New Roman" w:eastAsia="標楷體" w:hAnsi="Times New Roman" w:cs="Times New Roman"/>
          <w:b w:val="0"/>
          <w:spacing w:val="-144"/>
          <w:sz w:val="24"/>
          <w:szCs w:val="24"/>
          <w:lang w:eastAsia="zh-TW"/>
        </w:rPr>
        <w:t>」</w:t>
      </w:r>
      <w:r w:rsidRPr="00A11108">
        <w:rPr>
          <w:rFonts w:ascii="Times New Roman" w:eastAsia="標楷體" w:hAnsi="Times New Roman" w:cs="Times New Roman"/>
          <w:b w:val="0"/>
          <w:spacing w:val="-24"/>
          <w:sz w:val="24"/>
          <w:szCs w:val="24"/>
          <w:lang w:eastAsia="zh-TW"/>
        </w:rPr>
        <w:t>，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有關財產與非財產規定</w:t>
      </w:r>
      <w:r w:rsidRPr="00A11108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辦理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4C6BC9E7" w14:textId="77777777" w:rsidR="00D61E5B" w:rsidRDefault="00D61E5B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六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將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到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之學雜等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收入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，用於維持學校之經常開支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如有剩餘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以急需</w:t>
      </w:r>
    </w:p>
    <w:p w14:paraId="5E2D71F7" w14:textId="77777777" w:rsidR="00253092" w:rsidRDefault="00D61E5B" w:rsidP="00D61E5B">
      <w:pPr>
        <w:pStyle w:val="2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之擴建設備及償債為優先。</w:t>
      </w:r>
    </w:p>
    <w:p w14:paraId="107A02C6" w14:textId="77777777" w:rsidR="00253092" w:rsidRDefault="002A0C93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Pr="002A0C93"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  <w:t>預算之編審</w:t>
      </w:r>
    </w:p>
    <w:p w14:paraId="33C92AF1" w14:textId="77777777" w:rsidR="008152A5" w:rsidRDefault="00D71C84" w:rsidP="008152A5">
      <w:pPr>
        <w:pStyle w:val="2"/>
        <w:ind w:left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1.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應於每年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4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30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日前擬定重要校務計劃</w:t>
      </w:r>
      <w:r w:rsidR="008152A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8152A5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由會計室彙整各單位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估計</w:t>
      </w:r>
    </w:p>
    <w:p w14:paraId="47811E31" w14:textId="77777777" w:rsidR="00253092" w:rsidRDefault="008152A5" w:rsidP="008152A5">
      <w:pPr>
        <w:pStyle w:val="2"/>
        <w:ind w:leftChars="500" w:left="11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未來一學年度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所需經費及其收入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編製各項預算表（</w:t>
      </w:r>
      <w:r w:rsidR="00F45B09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如</w:t>
      </w:r>
      <w:r w:rsidR="00F45B09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：</w:t>
      </w:r>
      <w:r w:rsidR="00253092" w:rsidRPr="00D71C8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預算說明書、收支餘絀預計表、預計長期營運資產變</w:t>
      </w:r>
      <w:r w:rsidR="00253092" w:rsidRPr="002A0C9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動表、預計增置重要長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期營運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資產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明細</w:t>
      </w:r>
      <w:r w:rsidR="00253092" w:rsidRPr="00A11108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表、</w:t>
      </w:r>
      <w:r w:rsidR="00253092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預計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借款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變動</w:t>
      </w:r>
      <w:r w:rsidR="00253092" w:rsidRPr="00A11108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表、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收入預算明細</w:t>
      </w:r>
      <w:r w:rsidR="00253092" w:rsidRPr="00A11108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表、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費用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預算</w:t>
      </w:r>
      <w:r w:rsidR="00253092" w:rsidRPr="00A11108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明細表</w:t>
      </w:r>
      <w:r w:rsidR="00253092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、預計購建土地及重大工程明細表、最近五年現金概況表</w:t>
      </w:r>
      <w:r w:rsidR="00F45B09">
        <w:rPr>
          <w:rFonts w:ascii="Times New Roman" w:eastAsia="標楷體" w:hAnsi="Times New Roman" w:cs="Times New Roman" w:hint="eastAsia"/>
          <w:b w:val="0"/>
          <w:spacing w:val="2"/>
          <w:sz w:val="24"/>
          <w:szCs w:val="24"/>
          <w:lang w:eastAsia="zh-HK"/>
        </w:rPr>
        <w:t>等</w:t>
      </w:r>
      <w:r w:rsidR="00253092" w:rsidRPr="00A11108">
        <w:rPr>
          <w:rFonts w:ascii="Times New Roman" w:eastAsia="標楷體" w:hAnsi="Times New Roman" w:cs="Times New Roman"/>
          <w:b w:val="0"/>
          <w:spacing w:val="-32"/>
          <w:sz w:val="24"/>
          <w:szCs w:val="24"/>
          <w:lang w:eastAsia="zh-TW"/>
        </w:rPr>
        <w:t>）</w:t>
      </w:r>
      <w:r w:rsidR="00253092">
        <w:rPr>
          <w:rFonts w:ascii="Times New Roman" w:eastAsia="標楷體" w:hAnsi="Times New Roman" w:cs="Times New Roman"/>
          <w:b w:val="0"/>
          <w:spacing w:val="-32"/>
          <w:sz w:val="24"/>
          <w:szCs w:val="24"/>
          <w:lang w:eastAsia="zh-TW"/>
        </w:rPr>
        <w:t>，</w:t>
      </w:r>
      <w:r w:rsidR="00253092" w:rsidRPr="00A11108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彙定成冊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並經有關人員簽章送交董事會審議。</w:t>
      </w:r>
    </w:p>
    <w:p w14:paraId="3F7011F2" w14:textId="77777777" w:rsidR="00253092" w:rsidRDefault="00F45B09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2.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年度收支預算，應依本準則所定之報表格式及收支預算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項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目編製。</w:t>
      </w:r>
    </w:p>
    <w:p w14:paraId="496D4A14" w14:textId="77777777" w:rsidR="00F45B09" w:rsidRDefault="00F45B09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3.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收入預算表所列學雜費等收入，應將教育部核定之學生人數、收費</w:t>
      </w:r>
    </w:p>
    <w:p w14:paraId="00BFC0F4" w14:textId="77777777" w:rsidR="00253092" w:rsidRDefault="00253092" w:rsidP="00F45B09">
      <w:pPr>
        <w:pStyle w:val="2"/>
        <w:ind w:left="0" w:firstLineChars="500" w:firstLine="12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標準及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其他重要事項，在說明欄內詳細列明。</w:t>
      </w:r>
    </w:p>
    <w:p w14:paraId="575A0264" w14:textId="77777777" w:rsidR="00F45B09" w:rsidRDefault="00F45B09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4.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人事費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按人員所屬單位，分別歸屬於「董事會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」</w:t>
      </w:r>
      <w:r w:rsidRPr="002A0C9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行政管</w:t>
      </w:r>
    </w:p>
    <w:p w14:paraId="331AA78C" w14:textId="77777777" w:rsidR="00253092" w:rsidRDefault="00F45B09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　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理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」</w:t>
      </w:r>
      <w:r w:rsidRPr="002A0C9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253092" w:rsidRPr="0082732D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教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學研究及訓輔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」</w:t>
      </w:r>
      <w:r w:rsidRPr="002A0C9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推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廣教育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」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等單位項下。</w:t>
      </w:r>
    </w:p>
    <w:p w14:paraId="209A7669" w14:textId="77777777" w:rsidR="002B4402" w:rsidRDefault="002B4402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</w:t>
      </w:r>
      <w:r w:rsidR="0025309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.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董事會應於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每年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6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月底以前核定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院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收支預算，</w:t>
      </w:r>
      <w:proofErr w:type="gramStart"/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發交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院</w:t>
      </w:r>
      <w:proofErr w:type="gramEnd"/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執</w:t>
      </w:r>
    </w:p>
    <w:p w14:paraId="60BD57BC" w14:textId="77777777" w:rsidR="00253092" w:rsidRDefault="002B4402" w:rsidP="002B4402">
      <w:pPr>
        <w:pStyle w:val="2"/>
        <w:ind w:left="0" w:firstLineChars="400" w:firstLine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行，並由校長報請主管教育機關備查。</w:t>
      </w:r>
    </w:p>
    <w:p w14:paraId="5ADBACF9" w14:textId="77777777" w:rsidR="00253092" w:rsidRDefault="002B4402" w:rsidP="00204863">
      <w:pPr>
        <w:pStyle w:val="2"/>
        <w:ind w:left="1200" w:hangingChars="500" w:hanging="12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6.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若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接到主管教育機關對前項收支預算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要求修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正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，應於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二星期內重行</w:t>
      </w:r>
      <w:r w:rsidR="00204863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修正預算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並報請董事會及主管教育機關備查。</w:t>
      </w:r>
    </w:p>
    <w:p w14:paraId="3887B8F4" w14:textId="77777777" w:rsidR="00204863" w:rsidRDefault="00204863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lastRenderedPageBreak/>
        <w:t xml:space="preserve">        7.</w:t>
      </w:r>
      <w:r w:rsidR="0025309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收支預算如有不能平衡時，應由董事會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出面，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依照私立學校法有關</w:t>
      </w:r>
    </w:p>
    <w:p w14:paraId="49CF4314" w14:textId="77777777" w:rsidR="00253092" w:rsidRDefault="00204863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　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規定籌劃。</w:t>
      </w:r>
    </w:p>
    <w:p w14:paraId="2F4D3952" w14:textId="77777777" w:rsidR="00253092" w:rsidRPr="00AD2A82" w:rsidRDefault="00616AF5" w:rsidP="00616AF5">
      <w:pPr>
        <w:pStyle w:val="2"/>
        <w:ind w:left="0"/>
        <w:rPr>
          <w:rFonts w:ascii="Times New Roman" w:eastAsia="標楷體" w:hAnsi="Times New Roman" w:cs="Times New Roman"/>
          <w:b w:val="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第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條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Pr="00616AF5"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  <w:t>預算之執行</w:t>
      </w:r>
      <w:r w:rsidRPr="00AD2A82">
        <w:rPr>
          <w:rFonts w:ascii="Times New Roman" w:eastAsia="標楷體" w:hAnsi="Times New Roman" w:cs="Times New Roman"/>
          <w:b w:val="0"/>
          <w:sz w:val="28"/>
          <w:szCs w:val="28"/>
          <w:lang w:eastAsia="zh-TW"/>
        </w:rPr>
        <w:t xml:space="preserve"> </w:t>
      </w:r>
    </w:p>
    <w:p w14:paraId="409CDD93" w14:textId="77777777" w:rsidR="00A10B4C" w:rsidRDefault="00A10B4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1.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各部門執行歲出預算，應確實配合年度工作計劃，除經常門之例行事</w:t>
      </w:r>
    </w:p>
    <w:p w14:paraId="5CED21A0" w14:textId="77777777" w:rsidR="00A10B4C" w:rsidRDefault="00253092" w:rsidP="00A10B4C">
      <w:pPr>
        <w:pStyle w:val="2"/>
        <w:ind w:firstLineChars="400" w:firstLine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proofErr w:type="gramStart"/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務</w:t>
      </w:r>
      <w:proofErr w:type="gramEnd"/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費依時間長短比例支用外，其他經常門及資本門，應依工作計劃進</w:t>
      </w:r>
    </w:p>
    <w:p w14:paraId="102FCD12" w14:textId="77777777" w:rsidR="00253092" w:rsidRDefault="00253092" w:rsidP="00A10B4C">
      <w:pPr>
        <w:pStyle w:val="2"/>
        <w:ind w:firstLineChars="400" w:firstLine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度支用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14DAEC21" w14:textId="77777777" w:rsidR="00A10B4C" w:rsidRDefault="00A10B4C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2.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執行年度預算，遇有特殊事故，致有增加或裁減經費之必要時，應依</w:t>
      </w:r>
    </w:p>
    <w:p w14:paraId="2DA1777F" w14:textId="77777777" w:rsidR="00253092" w:rsidRDefault="00A10B4C" w:rsidP="00A10B4C">
      <w:pPr>
        <w:pStyle w:val="2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="00253092" w:rsidRPr="008273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收支平衡</w:t>
      </w:r>
      <w:r w:rsidR="00253092"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原則，由董事會議追加或追減之。</w:t>
      </w:r>
    </w:p>
    <w:p w14:paraId="2671FDE2" w14:textId="77777777" w:rsidR="00C12A0B" w:rsidRDefault="00253092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</w:t>
      </w: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如應特殊事故必須變更原定計劃及預定進度者，應經董事會通過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</w:t>
      </w:r>
    </w:p>
    <w:p w14:paraId="7E258A29" w14:textId="77777777" w:rsidR="00253092" w:rsidRDefault="00253092" w:rsidP="00C12A0B">
      <w:pPr>
        <w:pStyle w:val="2"/>
        <w:ind w:firstLineChars="400" w:firstLine="96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報請主管機關備查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其申請期限，應於年度終了前四</w:t>
      </w:r>
      <w:proofErr w:type="gramStart"/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個</w:t>
      </w:r>
      <w:proofErr w:type="gramEnd"/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月為之。</w:t>
      </w:r>
    </w:p>
    <w:p w14:paraId="0132368B" w14:textId="77777777" w:rsidR="00852522" w:rsidRDefault="00C12A0B" w:rsidP="00C12A0B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3.</w:t>
      </w:r>
      <w:r w:rsidR="00852522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經常門中若有一項目經費不足</w:t>
      </w:r>
      <w:r w:rsidR="0085252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852522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而其他項目有剩餘時</w:t>
      </w:r>
      <w:r w:rsidR="0085252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852522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可互相流用</w:t>
      </w:r>
    </w:p>
    <w:p w14:paraId="7E63187B" w14:textId="77777777" w:rsidR="00852522" w:rsidRDefault="00852522" w:rsidP="00C12A0B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（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不含專款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），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各單位經常門支出預算剩餘不得申請保留轉入下年度繼</w:t>
      </w:r>
    </w:p>
    <w:p w14:paraId="3AAF2A69" w14:textId="77777777" w:rsidR="00C12A0B" w:rsidRPr="002A0C93" w:rsidRDefault="00852522" w:rsidP="00C12A0B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續使用。</w:t>
      </w:r>
    </w:p>
    <w:p w14:paraId="6CFAC998" w14:textId="77777777" w:rsidR="00852522" w:rsidRDefault="00852522" w:rsidP="00852522">
      <w:pPr>
        <w:pStyle w:val="2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4.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資本門中若有一項目經費不足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而其他項目有剩餘時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可互相流</w:t>
      </w:r>
    </w:p>
    <w:p w14:paraId="6C14C90C" w14:textId="77777777" w:rsidR="00852522" w:rsidRDefault="00852522" w:rsidP="00852522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用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（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不含專款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），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各單位資本門支出預算應依年度編列預算執行，如</w:t>
      </w:r>
    </w:p>
    <w:p w14:paraId="7471C2DF" w14:textId="77777777" w:rsidR="00852522" w:rsidRDefault="00852522" w:rsidP="00852522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因特殊原因，當年度不能完成者，得申請保留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經校長核准後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轉入下年</w:t>
      </w:r>
    </w:p>
    <w:p w14:paraId="4B4DEC68" w14:textId="77777777" w:rsidR="00C12A0B" w:rsidRPr="002A0C93" w:rsidRDefault="00852522" w:rsidP="00852522">
      <w:pPr>
        <w:pStyle w:val="2"/>
        <w:ind w:firstLineChars="300" w:firstLine="72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</w:t>
      </w:r>
      <w:r w:rsidR="00C12A0B" w:rsidRPr="002A0C93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度繼續支用。</w:t>
      </w:r>
    </w:p>
    <w:p w14:paraId="07733451" w14:textId="77777777" w:rsidR="00C12A0B" w:rsidRDefault="00253092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5</w:t>
      </w:r>
      <w:r w:rsidR="00C12A0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.</w:t>
      </w: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會計室應於會計年度結束後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</w:t>
      </w:r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個月內根據帳簿編製平衡表、收支餘</w:t>
      </w:r>
      <w:proofErr w:type="gramStart"/>
      <w:r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絀</w:t>
      </w:r>
      <w:proofErr w:type="gramEnd"/>
    </w:p>
    <w:p w14:paraId="69AAB56E" w14:textId="77777777" w:rsidR="00C12A0B" w:rsidRDefault="00C12A0B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</w:t>
      </w:r>
      <w:r w:rsidR="00253092"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表、現金流量表、現金收支概況表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、長期營運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資產變動表、借款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變動</w:t>
      </w:r>
    </w:p>
    <w:p w14:paraId="54FF2B08" w14:textId="77777777" w:rsidR="00C12A0B" w:rsidRDefault="00C12A0B" w:rsidP="008E1E8C">
      <w:pPr>
        <w:pStyle w:val="2"/>
        <w:ind w:left="0"/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7"/>
          <w:sz w:val="24"/>
          <w:szCs w:val="24"/>
          <w:lang w:eastAsia="zh-TW"/>
        </w:rPr>
        <w:t xml:space="preserve">　　　　　</w:t>
      </w:r>
      <w:r w:rsidR="00253092" w:rsidRPr="00A11108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表、</w:t>
      </w:r>
      <w:r w:rsidR="00253092" w:rsidRPr="00A1110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收入明細</w:t>
      </w:r>
      <w:r w:rsidR="00253092" w:rsidRPr="00A11108">
        <w:rPr>
          <w:rFonts w:ascii="Times New Roman" w:eastAsia="標楷體" w:hAnsi="Times New Roman" w:cs="Times New Roman"/>
          <w:b w:val="0"/>
          <w:spacing w:val="-17"/>
          <w:sz w:val="24"/>
          <w:szCs w:val="24"/>
          <w:lang w:eastAsia="zh-TW"/>
        </w:rPr>
        <w:t>表、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費用</w:t>
      </w:r>
      <w:r w:rsidR="00253092" w:rsidRPr="00A11108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明細表</w:t>
      </w:r>
      <w:r w:rsidR="00253092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、各會計項目明細表、最近</w:t>
      </w:r>
      <w:r w:rsidR="00253092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3</w:t>
      </w:r>
      <w:r w:rsidR="00253092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年財務分</w:t>
      </w:r>
    </w:p>
    <w:p w14:paraId="5C22A53A" w14:textId="77777777" w:rsidR="00C12A0B" w:rsidRDefault="00C12A0B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2"/>
          <w:sz w:val="24"/>
          <w:szCs w:val="24"/>
          <w:lang w:eastAsia="zh-TW"/>
        </w:rPr>
        <w:t xml:space="preserve">　　　　</w:t>
      </w:r>
      <w:r w:rsidR="00253092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析表</w:t>
      </w:r>
      <w:r w:rsidR="00253092"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，完成決算工作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="00253092"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並提供決算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書表</w:t>
      </w:r>
      <w:r w:rsidR="00253092" w:rsidRPr="005E4A8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予教育部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認定的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會計師事務</w:t>
      </w:r>
    </w:p>
    <w:p w14:paraId="38297B50" w14:textId="77777777" w:rsidR="00C12A0B" w:rsidRDefault="00C12A0B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所，於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10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月底之前完成財務報表查核工作，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再將</w:t>
      </w:r>
      <w:proofErr w:type="gramStart"/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決算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書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表經董事</w:t>
      </w:r>
      <w:proofErr w:type="gramEnd"/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會審</w:t>
      </w:r>
    </w:p>
    <w:p w14:paraId="2A6C6C5A" w14:textId="77777777" w:rsidR="00253092" w:rsidRDefault="00C12A0B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查後，</w:t>
      </w:r>
      <w:r w:rsidR="002530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11</w:t>
      </w:r>
      <w:r w:rsidR="00253092" w:rsidRPr="00C503F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月底前報請主管教育機關備查。</w:t>
      </w:r>
    </w:p>
    <w:p w14:paraId="1C858CB1" w14:textId="77777777" w:rsidR="00852522" w:rsidRDefault="00852522" w:rsidP="008E1E8C">
      <w:pPr>
        <w:pStyle w:val="2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</w:p>
    <w:p w14:paraId="4A732D87" w14:textId="77777777" w:rsidR="00786FD2" w:rsidRDefault="00786FD2" w:rsidP="008E1E8C">
      <w:pPr>
        <w:rPr>
          <w:lang w:eastAsia="zh-TW"/>
        </w:rPr>
      </w:pPr>
    </w:p>
    <w:sectPr w:rsidR="00786F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A020" w14:textId="77777777" w:rsidR="008C12AD" w:rsidRDefault="008C12AD" w:rsidP="008E1E8C">
      <w:r>
        <w:separator/>
      </w:r>
    </w:p>
  </w:endnote>
  <w:endnote w:type="continuationSeparator" w:id="0">
    <w:p w14:paraId="6A59ACEC" w14:textId="77777777" w:rsidR="008C12AD" w:rsidRDefault="008C12AD" w:rsidP="008E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1626" w14:textId="77777777" w:rsidR="008C12AD" w:rsidRDefault="008C12AD" w:rsidP="008E1E8C">
      <w:r>
        <w:separator/>
      </w:r>
    </w:p>
  </w:footnote>
  <w:footnote w:type="continuationSeparator" w:id="0">
    <w:p w14:paraId="636B3079" w14:textId="77777777" w:rsidR="008C12AD" w:rsidRDefault="008C12AD" w:rsidP="008E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379F"/>
    <w:multiLevelType w:val="hybridMultilevel"/>
    <w:tmpl w:val="7C1A95AC"/>
    <w:lvl w:ilvl="0" w:tplc="4862266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38ED0EB6"/>
    <w:multiLevelType w:val="hybridMultilevel"/>
    <w:tmpl w:val="27FC5E4E"/>
    <w:lvl w:ilvl="0" w:tplc="DE027B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092"/>
    <w:rsid w:val="00204863"/>
    <w:rsid w:val="00253092"/>
    <w:rsid w:val="002A0C93"/>
    <w:rsid w:val="002B4402"/>
    <w:rsid w:val="003D270D"/>
    <w:rsid w:val="00452140"/>
    <w:rsid w:val="00616AF5"/>
    <w:rsid w:val="00786FD2"/>
    <w:rsid w:val="008152A5"/>
    <w:rsid w:val="00852522"/>
    <w:rsid w:val="008B0237"/>
    <w:rsid w:val="008C12AD"/>
    <w:rsid w:val="008E1E8C"/>
    <w:rsid w:val="009675BA"/>
    <w:rsid w:val="00A10B4C"/>
    <w:rsid w:val="00C12A0B"/>
    <w:rsid w:val="00D61E5B"/>
    <w:rsid w:val="00D71C84"/>
    <w:rsid w:val="00EE7F1A"/>
    <w:rsid w:val="00F118B7"/>
    <w:rsid w:val="00F4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8EC9C"/>
  <w15:chartTrackingRefBased/>
  <w15:docId w15:val="{FBFB32F4-2962-47C5-BC6A-46419CC7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3092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253092"/>
    <w:pPr>
      <w:ind w:left="118"/>
      <w:outlineLvl w:val="1"/>
    </w:pPr>
    <w:rPr>
      <w:rFonts w:ascii="新細明體" w:eastAsia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253092"/>
    <w:rPr>
      <w:rFonts w:ascii="新細明體" w:eastAsia="新細明體" w:hAnsi="新細明體"/>
      <w:b/>
      <w:bCs/>
      <w:kern w:val="0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8E1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1E8C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E1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1E8C"/>
    <w:rPr>
      <w:kern w:val="0"/>
      <w:sz w:val="20"/>
      <w:szCs w:val="20"/>
      <w:lang w:eastAsia="en-US"/>
    </w:rPr>
  </w:style>
  <w:style w:type="paragraph" w:customStyle="1" w:styleId="Default">
    <w:name w:val="Default"/>
    <w:rsid w:val="002A0C9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32</cp:revision>
  <dcterms:created xsi:type="dcterms:W3CDTF">2022-10-22T16:49:00Z</dcterms:created>
  <dcterms:modified xsi:type="dcterms:W3CDTF">2022-11-21T06:25:00Z</dcterms:modified>
</cp:coreProperties>
</file>